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124DC7" w14:textId="42395023" w:rsidR="00B9146C" w:rsidRPr="00C30D1A" w:rsidRDefault="00B9146C" w:rsidP="00B9146C">
      <w:pPr>
        <w:jc w:val="right"/>
        <w:rPr>
          <w:rFonts w:ascii="Times New Roman" w:hAnsi="Times New Roman" w:cs="Times New Roman"/>
          <w:b/>
          <w:sz w:val="24"/>
          <w:szCs w:val="24"/>
          <w:u w:val="single"/>
        </w:rPr>
      </w:pPr>
      <w:bookmarkStart w:id="0" w:name="_Hlk104023260"/>
      <w:r w:rsidRPr="00C30D1A">
        <w:rPr>
          <w:rFonts w:ascii="Times New Roman" w:hAnsi="Times New Roman" w:cs="Times New Roman"/>
          <w:b/>
          <w:sz w:val="24"/>
          <w:szCs w:val="24"/>
          <w:u w:val="single"/>
        </w:rPr>
        <w:t>Załącznik nr 1 do OSR</w:t>
      </w:r>
    </w:p>
    <w:p w14:paraId="66EA95D4" w14:textId="3147C5BF" w:rsidR="00B9146C" w:rsidRPr="00C30D1A" w:rsidRDefault="001C0467" w:rsidP="00B9146C">
      <w:pPr>
        <w:shd w:val="clear" w:color="auto" w:fill="DEEAF6" w:themeFill="accent5" w:themeFillTint="33"/>
        <w:jc w:val="center"/>
        <w:rPr>
          <w:rFonts w:ascii="Times New Roman" w:hAnsi="Times New Roman" w:cs="Times New Roman"/>
          <w:b/>
          <w:bCs/>
          <w:sz w:val="24"/>
          <w:szCs w:val="24"/>
        </w:rPr>
      </w:pPr>
      <w:r w:rsidRPr="00C30D1A">
        <w:rPr>
          <w:rFonts w:ascii="Times New Roman" w:hAnsi="Times New Roman" w:cs="Times New Roman"/>
          <w:b/>
          <w:bCs/>
          <w:sz w:val="24"/>
          <w:szCs w:val="24"/>
        </w:rPr>
        <w:t>Szczegółowa kalkulacja utrzymania</w:t>
      </w:r>
      <w:r w:rsidR="00B9146C" w:rsidRPr="00C30D1A">
        <w:rPr>
          <w:rFonts w:ascii="Times New Roman" w:hAnsi="Times New Roman" w:cs="Times New Roman"/>
          <w:b/>
          <w:bCs/>
          <w:sz w:val="24"/>
          <w:szCs w:val="24"/>
        </w:rPr>
        <w:t xml:space="preserve"> efektów realizacji projektu „Usługi cyfrowe dla bezzałogowych statków powietrznych” w okresie 5 lat od zakończenia realizacji projektu</w:t>
      </w:r>
    </w:p>
    <w:p w14:paraId="5082D6A2" w14:textId="77371FE7" w:rsidR="00B9146C" w:rsidRPr="00C30D1A" w:rsidRDefault="00B9146C" w:rsidP="00B9146C">
      <w:pPr>
        <w:pStyle w:val="Akapitzlist"/>
        <w:numPr>
          <w:ilvl w:val="0"/>
          <w:numId w:val="1"/>
        </w:numPr>
        <w:shd w:val="clear" w:color="auto" w:fill="EDEDED" w:themeFill="accent3" w:themeFillTint="33"/>
        <w:rPr>
          <w:rFonts w:ascii="Times New Roman" w:hAnsi="Times New Roman" w:cs="Times New Roman"/>
          <w:b/>
          <w:bCs/>
          <w:sz w:val="24"/>
          <w:szCs w:val="24"/>
        </w:rPr>
      </w:pPr>
      <w:r w:rsidRPr="00C30D1A">
        <w:rPr>
          <w:rFonts w:ascii="Times New Roman" w:hAnsi="Times New Roman" w:cs="Times New Roman"/>
          <w:b/>
          <w:bCs/>
          <w:sz w:val="24"/>
          <w:szCs w:val="24"/>
        </w:rPr>
        <w:t xml:space="preserve">Koszty utrzymania wg stanu na </w:t>
      </w:r>
      <w:r w:rsidR="00DF0453" w:rsidRPr="00C30D1A">
        <w:rPr>
          <w:rFonts w:ascii="Times New Roman" w:hAnsi="Times New Roman" w:cs="Times New Roman"/>
          <w:b/>
          <w:bCs/>
          <w:sz w:val="24"/>
          <w:szCs w:val="24"/>
        </w:rPr>
        <w:t>14.06.2022</w:t>
      </w:r>
      <w:r w:rsidR="00C66ECF" w:rsidRPr="00C30D1A">
        <w:rPr>
          <w:rFonts w:ascii="Times New Roman" w:hAnsi="Times New Roman" w:cs="Times New Roman"/>
          <w:b/>
          <w:bCs/>
          <w:sz w:val="24"/>
          <w:szCs w:val="24"/>
        </w:rPr>
        <w:t xml:space="preserve"> r.</w:t>
      </w:r>
    </w:p>
    <w:p w14:paraId="5AC118EB" w14:textId="3E399F51" w:rsidR="0050597E" w:rsidRPr="00C30D1A" w:rsidRDefault="009047CD" w:rsidP="00880703">
      <w:pPr>
        <w:jc w:val="both"/>
        <w:rPr>
          <w:rFonts w:ascii="Times New Roman" w:hAnsi="Times New Roman" w:cs="Times New Roman"/>
          <w:sz w:val="24"/>
          <w:szCs w:val="24"/>
        </w:rPr>
      </w:pPr>
      <w:r w:rsidRPr="00C30D1A">
        <w:rPr>
          <w:rFonts w:ascii="Times New Roman" w:hAnsi="Times New Roman" w:cs="Times New Roman"/>
          <w:sz w:val="24"/>
          <w:szCs w:val="24"/>
        </w:rPr>
        <w:t>W ramach aktualizacji kosztów utrzymania, przeprowadzono pogłębioną analizę uwzględniającą</w:t>
      </w:r>
      <w:r w:rsidR="00D21A0A" w:rsidRPr="00C30D1A">
        <w:rPr>
          <w:rFonts w:ascii="Times New Roman" w:hAnsi="Times New Roman" w:cs="Times New Roman"/>
          <w:sz w:val="24"/>
          <w:szCs w:val="24"/>
        </w:rPr>
        <w:t xml:space="preserve"> </w:t>
      </w:r>
      <w:r w:rsidR="00101A64" w:rsidRPr="00C30D1A">
        <w:rPr>
          <w:rFonts w:ascii="Times New Roman" w:hAnsi="Times New Roman" w:cs="Times New Roman"/>
          <w:sz w:val="24"/>
          <w:szCs w:val="24"/>
        </w:rPr>
        <w:t xml:space="preserve">postęp realizacji projektu, uwarunkowania rynkowe, ale także urealnienie </w:t>
      </w:r>
      <w:r w:rsidR="00BC1DB5" w:rsidRPr="00C30D1A">
        <w:rPr>
          <w:rFonts w:ascii="Times New Roman" w:hAnsi="Times New Roman" w:cs="Times New Roman"/>
          <w:sz w:val="24"/>
          <w:szCs w:val="24"/>
        </w:rPr>
        <w:t xml:space="preserve">zidentyfikowanych na obecnym etapie </w:t>
      </w:r>
      <w:r w:rsidR="00101A64" w:rsidRPr="00C30D1A">
        <w:rPr>
          <w:rFonts w:ascii="Times New Roman" w:hAnsi="Times New Roman" w:cs="Times New Roman"/>
          <w:sz w:val="24"/>
          <w:szCs w:val="24"/>
        </w:rPr>
        <w:t>potrzeb</w:t>
      </w:r>
      <w:r w:rsidR="00BC1DB5" w:rsidRPr="00C30D1A">
        <w:rPr>
          <w:rFonts w:ascii="Times New Roman" w:hAnsi="Times New Roman" w:cs="Times New Roman"/>
          <w:sz w:val="24"/>
          <w:szCs w:val="24"/>
        </w:rPr>
        <w:t xml:space="preserve"> w zakresie zapewnienia niezbędnych zasobów </w:t>
      </w:r>
      <w:r w:rsidR="00A1588D" w:rsidRPr="00C30D1A">
        <w:rPr>
          <w:rFonts w:ascii="Times New Roman" w:hAnsi="Times New Roman" w:cs="Times New Roman"/>
          <w:sz w:val="24"/>
          <w:szCs w:val="24"/>
        </w:rPr>
        <w:t>osobowych oraz nieosobowych.</w:t>
      </w:r>
    </w:p>
    <w:p w14:paraId="43A1B57A" w14:textId="2918E12E" w:rsidR="00BC03A1" w:rsidRPr="00C30D1A" w:rsidRDefault="00D05E45" w:rsidP="00880703">
      <w:pPr>
        <w:jc w:val="both"/>
        <w:rPr>
          <w:rFonts w:ascii="Times New Roman" w:hAnsi="Times New Roman" w:cs="Times New Roman"/>
          <w:sz w:val="24"/>
          <w:szCs w:val="24"/>
        </w:rPr>
      </w:pPr>
      <w:r w:rsidRPr="00C30D1A">
        <w:rPr>
          <w:rFonts w:ascii="Times New Roman" w:hAnsi="Times New Roman" w:cs="Times New Roman"/>
          <w:sz w:val="24"/>
          <w:szCs w:val="24"/>
        </w:rPr>
        <w:t xml:space="preserve">Europejskie i krajowe regulacje stale będą wpływały na niektóre usługi projektu (przede wszystkim </w:t>
      </w:r>
      <w:r w:rsidR="00CC2CAA" w:rsidRPr="00C30D1A">
        <w:rPr>
          <w:rFonts w:ascii="Times New Roman" w:hAnsi="Times New Roman" w:cs="Times New Roman"/>
          <w:sz w:val="24"/>
          <w:szCs w:val="24"/>
        </w:rPr>
        <w:t xml:space="preserve">Zaawansowane loty BSP na szeroką skalę - </w:t>
      </w:r>
      <w:r w:rsidRPr="00C30D1A">
        <w:rPr>
          <w:rFonts w:ascii="Times New Roman" w:hAnsi="Times New Roman" w:cs="Times New Roman"/>
          <w:sz w:val="24"/>
          <w:szCs w:val="24"/>
        </w:rPr>
        <w:t>DTM Autonomia,</w:t>
      </w:r>
      <w:r w:rsidR="00365D20" w:rsidRPr="00C30D1A">
        <w:rPr>
          <w:rFonts w:ascii="Times New Roman" w:hAnsi="Times New Roman" w:cs="Times New Roman"/>
          <w:sz w:val="24"/>
          <w:szCs w:val="24"/>
        </w:rPr>
        <w:t xml:space="preserve"> analizę ryzyka operacji BSP -</w:t>
      </w:r>
      <w:r w:rsidRPr="00C30D1A">
        <w:rPr>
          <w:rFonts w:ascii="Times New Roman" w:hAnsi="Times New Roman" w:cs="Times New Roman"/>
          <w:sz w:val="24"/>
          <w:szCs w:val="24"/>
        </w:rPr>
        <w:t xml:space="preserve"> e-SORA, </w:t>
      </w:r>
      <w:r w:rsidR="00365D20" w:rsidRPr="00C30D1A">
        <w:rPr>
          <w:rFonts w:ascii="Times New Roman" w:hAnsi="Times New Roman" w:cs="Times New Roman"/>
          <w:sz w:val="24"/>
          <w:szCs w:val="24"/>
        </w:rPr>
        <w:t xml:space="preserve">obsługę spraw związanych z nadawaniem uprawnień do wykonywania lotów BSP - </w:t>
      </w:r>
      <w:r w:rsidR="00B70BF0" w:rsidRPr="00C30D1A">
        <w:rPr>
          <w:rFonts w:ascii="Times New Roman" w:hAnsi="Times New Roman" w:cs="Times New Roman"/>
          <w:sz w:val="24"/>
          <w:szCs w:val="24"/>
        </w:rPr>
        <w:t>e-Rejestracja, e-Licencja, e-Certyfikacja, e-Learning)</w:t>
      </w:r>
      <w:r w:rsidR="00C66ECF" w:rsidRPr="00C30D1A">
        <w:rPr>
          <w:rFonts w:ascii="Times New Roman" w:hAnsi="Times New Roman" w:cs="Times New Roman"/>
          <w:sz w:val="24"/>
          <w:szCs w:val="24"/>
        </w:rPr>
        <w:t>,</w:t>
      </w:r>
      <w:r w:rsidRPr="00C30D1A">
        <w:rPr>
          <w:rFonts w:ascii="Times New Roman" w:hAnsi="Times New Roman" w:cs="Times New Roman"/>
          <w:sz w:val="24"/>
          <w:szCs w:val="24"/>
        </w:rPr>
        <w:t xml:space="preserve"> wymuszając ich aktualizację poprzez dostosowanie do obowiązującej legislacji, wytycznych czy rekomendacji bezpieczeństwa</w:t>
      </w:r>
      <w:r w:rsidR="00C66ECF" w:rsidRPr="00C30D1A">
        <w:rPr>
          <w:rFonts w:ascii="Times New Roman" w:hAnsi="Times New Roman" w:cs="Times New Roman"/>
          <w:sz w:val="24"/>
          <w:szCs w:val="24"/>
        </w:rPr>
        <w:t>,</w:t>
      </w:r>
      <w:r w:rsidRPr="00C30D1A">
        <w:rPr>
          <w:rFonts w:ascii="Times New Roman" w:hAnsi="Times New Roman" w:cs="Times New Roman"/>
          <w:sz w:val="24"/>
          <w:szCs w:val="24"/>
        </w:rPr>
        <w:t xml:space="preserve"> aby ich działanie było poprawne i zgodne z wymogami, narzucając</w:t>
      </w:r>
      <w:r w:rsidR="00365D20" w:rsidRPr="00C30D1A">
        <w:rPr>
          <w:rFonts w:ascii="Times New Roman" w:hAnsi="Times New Roman" w:cs="Times New Roman"/>
          <w:sz w:val="24"/>
          <w:szCs w:val="24"/>
        </w:rPr>
        <w:t>ych</w:t>
      </w:r>
      <w:r w:rsidRPr="00C30D1A">
        <w:rPr>
          <w:rFonts w:ascii="Times New Roman" w:hAnsi="Times New Roman" w:cs="Times New Roman"/>
          <w:sz w:val="24"/>
          <w:szCs w:val="24"/>
        </w:rPr>
        <w:t xml:space="preserve"> konieczność zastosowania pewnych określonych zasad</w:t>
      </w:r>
      <w:r w:rsidR="00CC2CAA" w:rsidRPr="00C30D1A">
        <w:rPr>
          <w:rFonts w:ascii="Times New Roman" w:hAnsi="Times New Roman" w:cs="Times New Roman"/>
          <w:sz w:val="24"/>
          <w:szCs w:val="24"/>
        </w:rPr>
        <w:t xml:space="preserve"> czy rozwiązań</w:t>
      </w:r>
      <w:r w:rsidRPr="00C30D1A">
        <w:rPr>
          <w:rFonts w:ascii="Times New Roman" w:hAnsi="Times New Roman" w:cs="Times New Roman"/>
          <w:sz w:val="24"/>
          <w:szCs w:val="24"/>
        </w:rPr>
        <w:t xml:space="preserve"> dla lotów </w:t>
      </w:r>
      <w:r w:rsidR="00C66ECF" w:rsidRPr="00C30D1A">
        <w:rPr>
          <w:rFonts w:ascii="Times New Roman" w:hAnsi="Times New Roman" w:cs="Times New Roman"/>
          <w:sz w:val="24"/>
          <w:szCs w:val="24"/>
        </w:rPr>
        <w:t>bezzałogowych statków powietrznych (</w:t>
      </w:r>
      <w:r w:rsidRPr="00C30D1A">
        <w:rPr>
          <w:rFonts w:ascii="Times New Roman" w:hAnsi="Times New Roman" w:cs="Times New Roman"/>
          <w:sz w:val="24"/>
          <w:szCs w:val="24"/>
        </w:rPr>
        <w:t>BSP</w:t>
      </w:r>
      <w:r w:rsidR="00C66ECF" w:rsidRPr="00C30D1A">
        <w:rPr>
          <w:rFonts w:ascii="Times New Roman" w:hAnsi="Times New Roman" w:cs="Times New Roman"/>
          <w:sz w:val="24"/>
          <w:szCs w:val="24"/>
        </w:rPr>
        <w:t>)</w:t>
      </w:r>
      <w:r w:rsidRPr="00C30D1A">
        <w:rPr>
          <w:rFonts w:ascii="Times New Roman" w:hAnsi="Times New Roman" w:cs="Times New Roman"/>
          <w:sz w:val="24"/>
          <w:szCs w:val="24"/>
        </w:rPr>
        <w:t>.</w:t>
      </w:r>
    </w:p>
    <w:p w14:paraId="19E72603" w14:textId="42FD3026" w:rsidR="00BC03A1" w:rsidRPr="00C30D1A" w:rsidRDefault="000B02A2" w:rsidP="00880703">
      <w:pPr>
        <w:jc w:val="both"/>
        <w:rPr>
          <w:rFonts w:ascii="Times New Roman" w:hAnsi="Times New Roman" w:cs="Times New Roman"/>
          <w:sz w:val="24"/>
          <w:szCs w:val="24"/>
        </w:rPr>
      </w:pPr>
      <w:r w:rsidRPr="00C30D1A">
        <w:rPr>
          <w:rFonts w:ascii="Times New Roman" w:hAnsi="Times New Roman" w:cs="Times New Roman"/>
          <w:sz w:val="24"/>
          <w:szCs w:val="24"/>
        </w:rPr>
        <w:t xml:space="preserve">W przypadku usług </w:t>
      </w:r>
      <w:r w:rsidR="004C3D03" w:rsidRPr="00C30D1A">
        <w:rPr>
          <w:rFonts w:ascii="Times New Roman" w:hAnsi="Times New Roman" w:cs="Times New Roman"/>
          <w:sz w:val="24"/>
          <w:szCs w:val="24"/>
        </w:rPr>
        <w:t xml:space="preserve">e-Rejestracja, e-Licencja, e-Certyfikacja, e-Learning </w:t>
      </w:r>
      <w:r w:rsidRPr="00C30D1A">
        <w:rPr>
          <w:rFonts w:ascii="Times New Roman" w:hAnsi="Times New Roman" w:cs="Times New Roman"/>
          <w:sz w:val="24"/>
          <w:szCs w:val="24"/>
        </w:rPr>
        <w:t>konieczna będzie stała aktualizacja działania usługi (systemu) pod kątem zmieniających si</w:t>
      </w:r>
      <w:r w:rsidR="00C66ECF" w:rsidRPr="00C30D1A">
        <w:rPr>
          <w:rFonts w:ascii="Times New Roman" w:hAnsi="Times New Roman" w:cs="Times New Roman"/>
          <w:sz w:val="24"/>
          <w:szCs w:val="24"/>
        </w:rPr>
        <w:t>ę wymogów odnośnie rejestracji o</w:t>
      </w:r>
      <w:r w:rsidRPr="00C30D1A">
        <w:rPr>
          <w:rFonts w:ascii="Times New Roman" w:hAnsi="Times New Roman" w:cs="Times New Roman"/>
          <w:sz w:val="24"/>
          <w:szCs w:val="24"/>
        </w:rPr>
        <w:t xml:space="preserve">peratorów </w:t>
      </w:r>
      <w:r w:rsidR="00C66ECF" w:rsidRPr="00C30D1A">
        <w:rPr>
          <w:rFonts w:ascii="Times New Roman" w:hAnsi="Times New Roman" w:cs="Times New Roman"/>
          <w:sz w:val="24"/>
          <w:szCs w:val="24"/>
        </w:rPr>
        <w:t xml:space="preserve">systemów </w:t>
      </w:r>
      <w:r w:rsidRPr="00C30D1A">
        <w:rPr>
          <w:rFonts w:ascii="Times New Roman" w:hAnsi="Times New Roman" w:cs="Times New Roman"/>
          <w:sz w:val="24"/>
          <w:szCs w:val="24"/>
        </w:rPr>
        <w:t xml:space="preserve">BSP czy wydawania zezwoleń na loty </w:t>
      </w:r>
      <w:r w:rsidR="00C66ECF" w:rsidRPr="00C30D1A">
        <w:rPr>
          <w:rFonts w:ascii="Times New Roman" w:hAnsi="Times New Roman" w:cs="Times New Roman"/>
          <w:sz w:val="24"/>
          <w:szCs w:val="24"/>
        </w:rPr>
        <w:t xml:space="preserve">BSP </w:t>
      </w:r>
      <w:r w:rsidRPr="00C30D1A">
        <w:rPr>
          <w:rFonts w:ascii="Times New Roman" w:hAnsi="Times New Roman" w:cs="Times New Roman"/>
          <w:sz w:val="24"/>
          <w:szCs w:val="24"/>
        </w:rPr>
        <w:t xml:space="preserve">w kategorii szczególnej </w:t>
      </w:r>
      <w:r w:rsidR="00A0686D" w:rsidRPr="00C30D1A">
        <w:rPr>
          <w:rFonts w:ascii="Times New Roman" w:hAnsi="Times New Roman" w:cs="Times New Roman"/>
          <w:sz w:val="24"/>
          <w:szCs w:val="24"/>
        </w:rPr>
        <w:t xml:space="preserve">lub </w:t>
      </w:r>
      <w:r w:rsidRPr="00C30D1A">
        <w:rPr>
          <w:rFonts w:ascii="Times New Roman" w:hAnsi="Times New Roman" w:cs="Times New Roman"/>
          <w:sz w:val="24"/>
          <w:szCs w:val="24"/>
        </w:rPr>
        <w:t>certyfikowanej, będących fundamentem dla możliwości realizacji zaawansowanych lotów BSP na szeroką skalę.</w:t>
      </w:r>
      <w:r w:rsidR="00365D20" w:rsidRPr="00C30D1A">
        <w:rPr>
          <w:rFonts w:ascii="Times New Roman" w:hAnsi="Times New Roman" w:cs="Times New Roman"/>
          <w:sz w:val="24"/>
          <w:szCs w:val="24"/>
        </w:rPr>
        <w:t xml:space="preserve"> Ponadto analogiczne aktualizacje będzie </w:t>
      </w:r>
      <w:r w:rsidR="00C66ECF" w:rsidRPr="00C30D1A">
        <w:rPr>
          <w:rFonts w:ascii="Times New Roman" w:hAnsi="Times New Roman" w:cs="Times New Roman"/>
          <w:sz w:val="24"/>
          <w:szCs w:val="24"/>
        </w:rPr>
        <w:t>trzeba</w:t>
      </w:r>
      <w:r w:rsidR="00365D20" w:rsidRPr="00C30D1A">
        <w:rPr>
          <w:rFonts w:ascii="Times New Roman" w:hAnsi="Times New Roman" w:cs="Times New Roman"/>
          <w:sz w:val="24"/>
          <w:szCs w:val="24"/>
        </w:rPr>
        <w:t xml:space="preserve"> wprowadzać w zakresie szczegółów niezbędnych kwalifikacji personelu dla kategorii </w:t>
      </w:r>
      <w:r w:rsidR="00C66ECF" w:rsidRPr="00C30D1A">
        <w:rPr>
          <w:rFonts w:ascii="Times New Roman" w:hAnsi="Times New Roman" w:cs="Times New Roman"/>
          <w:sz w:val="24"/>
          <w:szCs w:val="24"/>
        </w:rPr>
        <w:t>otwartej</w:t>
      </w:r>
      <w:r w:rsidR="00365D20" w:rsidRPr="00C30D1A">
        <w:rPr>
          <w:rFonts w:ascii="Times New Roman" w:hAnsi="Times New Roman" w:cs="Times New Roman"/>
          <w:sz w:val="24"/>
          <w:szCs w:val="24"/>
        </w:rPr>
        <w:t>, szczególnej i certyfikowanej, czy dla parametryzacji zasad dotyczących poszczególnych scenariuszy kategorii open oraz szczególnej.</w:t>
      </w:r>
      <w:r w:rsidRPr="00C30D1A">
        <w:rPr>
          <w:rFonts w:ascii="Times New Roman" w:hAnsi="Times New Roman" w:cs="Times New Roman"/>
          <w:sz w:val="24"/>
          <w:szCs w:val="24"/>
        </w:rPr>
        <w:t xml:space="preserve"> Utrzymanie wdrożonych rozwiązań przez </w:t>
      </w:r>
      <w:r w:rsidR="00C66ECF" w:rsidRPr="00C30D1A">
        <w:rPr>
          <w:rFonts w:ascii="Times New Roman" w:hAnsi="Times New Roman" w:cs="Times New Roman"/>
          <w:sz w:val="24"/>
          <w:szCs w:val="24"/>
        </w:rPr>
        <w:t>5</w:t>
      </w:r>
      <w:r w:rsidRPr="00C30D1A">
        <w:rPr>
          <w:rFonts w:ascii="Times New Roman" w:hAnsi="Times New Roman" w:cs="Times New Roman"/>
          <w:sz w:val="24"/>
          <w:szCs w:val="24"/>
        </w:rPr>
        <w:t xml:space="preserve"> lat bez żadnej modyfikacji spowodowałoby, że już po krótkim czasie system</w:t>
      </w:r>
      <w:r w:rsidR="00C66ECF" w:rsidRPr="00C30D1A">
        <w:rPr>
          <w:rFonts w:ascii="Times New Roman" w:hAnsi="Times New Roman" w:cs="Times New Roman"/>
          <w:sz w:val="24"/>
          <w:szCs w:val="24"/>
        </w:rPr>
        <w:t xml:space="preserve"> </w:t>
      </w:r>
      <w:r w:rsidRPr="00C30D1A">
        <w:rPr>
          <w:rFonts w:ascii="Times New Roman" w:hAnsi="Times New Roman" w:cs="Times New Roman"/>
          <w:sz w:val="24"/>
          <w:szCs w:val="24"/>
        </w:rPr>
        <w:t>/ usługa był</w:t>
      </w:r>
      <w:r w:rsidR="00A0686D" w:rsidRPr="00C30D1A">
        <w:rPr>
          <w:rFonts w:ascii="Times New Roman" w:hAnsi="Times New Roman" w:cs="Times New Roman"/>
          <w:sz w:val="24"/>
          <w:szCs w:val="24"/>
        </w:rPr>
        <w:t>y</w:t>
      </w:r>
      <w:r w:rsidRPr="00C30D1A">
        <w:rPr>
          <w:rFonts w:ascii="Times New Roman" w:hAnsi="Times New Roman" w:cs="Times New Roman"/>
          <w:sz w:val="24"/>
          <w:szCs w:val="24"/>
        </w:rPr>
        <w:t>by niezgodn</w:t>
      </w:r>
      <w:r w:rsidR="00A0686D" w:rsidRPr="00C30D1A">
        <w:rPr>
          <w:rFonts w:ascii="Times New Roman" w:hAnsi="Times New Roman" w:cs="Times New Roman"/>
          <w:sz w:val="24"/>
          <w:szCs w:val="24"/>
        </w:rPr>
        <w:t>e</w:t>
      </w:r>
      <w:r w:rsidRPr="00C30D1A">
        <w:rPr>
          <w:rFonts w:ascii="Times New Roman" w:hAnsi="Times New Roman" w:cs="Times New Roman"/>
          <w:sz w:val="24"/>
          <w:szCs w:val="24"/>
        </w:rPr>
        <w:t xml:space="preserve"> z obowiązującymi przepisami i regulacjami określającymi działanie związane z nadawaniem uprawnień i zezwoleń do wykonywania lotów</w:t>
      </w:r>
      <w:r w:rsidR="00C66ECF" w:rsidRPr="00C30D1A">
        <w:rPr>
          <w:rFonts w:ascii="Times New Roman" w:hAnsi="Times New Roman" w:cs="Times New Roman"/>
          <w:sz w:val="24"/>
          <w:szCs w:val="24"/>
        </w:rPr>
        <w:t>,</w:t>
      </w:r>
      <w:r w:rsidRPr="00C30D1A">
        <w:rPr>
          <w:rFonts w:ascii="Times New Roman" w:hAnsi="Times New Roman" w:cs="Times New Roman"/>
          <w:sz w:val="24"/>
          <w:szCs w:val="24"/>
        </w:rPr>
        <w:t xml:space="preserve"> a to oznaczałoby konieczność jego wyłączenia. W konsekwencji, z uwagi na utratę funkcjonalności i brak utrzymania efektów, PAŻP, MI i ULC będą zobowiązane do zwrotu pozyskanego na realizację usług dofinansowania UE wraz z odsetkami. Będzie to równoznaczne z naruszeniem dyscypliny finansów publicznych.</w:t>
      </w:r>
    </w:p>
    <w:p w14:paraId="38D1430F" w14:textId="3F70D03A" w:rsidR="003C4CC5" w:rsidRPr="00C30D1A" w:rsidRDefault="003C4CC5" w:rsidP="00880703">
      <w:pPr>
        <w:jc w:val="both"/>
        <w:rPr>
          <w:rFonts w:ascii="Times New Roman" w:hAnsi="Times New Roman" w:cs="Times New Roman"/>
          <w:sz w:val="24"/>
          <w:szCs w:val="24"/>
        </w:rPr>
      </w:pPr>
      <w:r w:rsidRPr="00C30D1A">
        <w:rPr>
          <w:rFonts w:ascii="Times New Roman" w:hAnsi="Times New Roman" w:cs="Times New Roman"/>
          <w:sz w:val="24"/>
          <w:szCs w:val="24"/>
        </w:rPr>
        <w:t xml:space="preserve">Rynek </w:t>
      </w:r>
      <w:proofErr w:type="spellStart"/>
      <w:r w:rsidRPr="00C30D1A">
        <w:rPr>
          <w:rFonts w:ascii="Times New Roman" w:hAnsi="Times New Roman" w:cs="Times New Roman"/>
          <w:sz w:val="24"/>
          <w:szCs w:val="24"/>
        </w:rPr>
        <w:t>dronowy</w:t>
      </w:r>
      <w:proofErr w:type="spellEnd"/>
      <w:r w:rsidRPr="00C30D1A">
        <w:rPr>
          <w:rFonts w:ascii="Times New Roman" w:hAnsi="Times New Roman" w:cs="Times New Roman"/>
          <w:sz w:val="24"/>
          <w:szCs w:val="24"/>
        </w:rPr>
        <w:t xml:space="preserve"> jest w Polsce i na świecie w silnej fazie rozwoju i jego szczegółowej organizacji, dlatego regulacje prawne dotyczące rynku </w:t>
      </w:r>
      <w:proofErr w:type="spellStart"/>
      <w:r w:rsidRPr="00C30D1A">
        <w:rPr>
          <w:rFonts w:ascii="Times New Roman" w:hAnsi="Times New Roman" w:cs="Times New Roman"/>
          <w:sz w:val="24"/>
          <w:szCs w:val="24"/>
        </w:rPr>
        <w:t>dronowego</w:t>
      </w:r>
      <w:proofErr w:type="spellEnd"/>
      <w:r w:rsidRPr="00C30D1A">
        <w:rPr>
          <w:rFonts w:ascii="Times New Roman" w:hAnsi="Times New Roman" w:cs="Times New Roman"/>
          <w:sz w:val="24"/>
          <w:szCs w:val="24"/>
        </w:rPr>
        <w:t xml:space="preserve"> są i jeszcze długo będą dynamicznie się zmieniały, co wiąże się z koniecznością aktualizacji usługi</w:t>
      </w:r>
      <w:r w:rsidR="00C66ECF" w:rsidRPr="00C30D1A">
        <w:rPr>
          <w:rFonts w:ascii="Times New Roman" w:hAnsi="Times New Roman" w:cs="Times New Roman"/>
          <w:sz w:val="24"/>
          <w:szCs w:val="24"/>
        </w:rPr>
        <w:t>,</w:t>
      </w:r>
      <w:r w:rsidRPr="00C30D1A">
        <w:rPr>
          <w:rFonts w:ascii="Times New Roman" w:hAnsi="Times New Roman" w:cs="Times New Roman"/>
          <w:sz w:val="24"/>
          <w:szCs w:val="24"/>
        </w:rPr>
        <w:t xml:space="preserve"> a tym samym systemów obsługujących proces.</w:t>
      </w:r>
    </w:p>
    <w:p w14:paraId="4F065850" w14:textId="7A063FBC" w:rsidR="003C4CC5" w:rsidRPr="00C30D1A" w:rsidRDefault="003C4CC5" w:rsidP="00880703">
      <w:pPr>
        <w:jc w:val="both"/>
        <w:rPr>
          <w:rFonts w:ascii="Times New Roman" w:hAnsi="Times New Roman" w:cs="Times New Roman"/>
          <w:sz w:val="24"/>
          <w:szCs w:val="24"/>
        </w:rPr>
      </w:pPr>
      <w:r w:rsidRPr="00C30D1A">
        <w:rPr>
          <w:rFonts w:ascii="Times New Roman" w:hAnsi="Times New Roman" w:cs="Times New Roman"/>
          <w:sz w:val="24"/>
          <w:szCs w:val="24"/>
        </w:rPr>
        <w:t>Doskonałym przykładem dla tego zagadnienia są sytuacje</w:t>
      </w:r>
      <w:r w:rsidR="00275945" w:rsidRPr="00C30D1A">
        <w:rPr>
          <w:rFonts w:ascii="Times New Roman" w:hAnsi="Times New Roman" w:cs="Times New Roman"/>
          <w:sz w:val="24"/>
          <w:szCs w:val="24"/>
        </w:rPr>
        <w:t>,</w:t>
      </w:r>
      <w:r w:rsidRPr="00C30D1A">
        <w:rPr>
          <w:rFonts w:ascii="Times New Roman" w:hAnsi="Times New Roman" w:cs="Times New Roman"/>
          <w:sz w:val="24"/>
          <w:szCs w:val="24"/>
        </w:rPr>
        <w:t xml:space="preserve"> jakie występują na co </w:t>
      </w:r>
      <w:r w:rsidR="00C66ECF" w:rsidRPr="00C30D1A">
        <w:rPr>
          <w:rFonts w:ascii="Times New Roman" w:hAnsi="Times New Roman" w:cs="Times New Roman"/>
          <w:sz w:val="24"/>
          <w:szCs w:val="24"/>
        </w:rPr>
        <w:t>dzień w pracach grup roboczych p</w:t>
      </w:r>
      <w:r w:rsidRPr="00C30D1A">
        <w:rPr>
          <w:rFonts w:ascii="Times New Roman" w:hAnsi="Times New Roman" w:cs="Times New Roman"/>
          <w:sz w:val="24"/>
          <w:szCs w:val="24"/>
        </w:rPr>
        <w:t xml:space="preserve">rojektu. </w:t>
      </w:r>
      <w:r w:rsidR="00275945" w:rsidRPr="00C30D1A">
        <w:rPr>
          <w:rFonts w:ascii="Times New Roman" w:hAnsi="Times New Roman" w:cs="Times New Roman"/>
          <w:sz w:val="24"/>
          <w:szCs w:val="24"/>
        </w:rPr>
        <w:t>Tylko w</w:t>
      </w:r>
      <w:r w:rsidRPr="00C30D1A">
        <w:rPr>
          <w:rFonts w:ascii="Times New Roman" w:hAnsi="Times New Roman" w:cs="Times New Roman"/>
          <w:sz w:val="24"/>
          <w:szCs w:val="24"/>
        </w:rPr>
        <w:t xml:space="preserve"> ostatnich kilku miesiącach wystąpiło szereg sytuacji zbliżonych do poruszonej wcześniej kwestii. Uzgodniony</w:t>
      </w:r>
      <w:r w:rsidR="00275945" w:rsidRPr="00C30D1A">
        <w:rPr>
          <w:rFonts w:ascii="Times New Roman" w:hAnsi="Times New Roman" w:cs="Times New Roman"/>
          <w:sz w:val="24"/>
          <w:szCs w:val="24"/>
        </w:rPr>
        <w:t xml:space="preserve"> między PAŻP a ULC</w:t>
      </w:r>
      <w:r w:rsidR="00A0686D" w:rsidRPr="00C30D1A">
        <w:rPr>
          <w:rFonts w:ascii="Times New Roman" w:hAnsi="Times New Roman" w:cs="Times New Roman"/>
          <w:sz w:val="24"/>
          <w:szCs w:val="24"/>
        </w:rPr>
        <w:t xml:space="preserve"> na roboczo</w:t>
      </w:r>
      <w:r w:rsidR="00C66ECF" w:rsidRPr="00C30D1A">
        <w:rPr>
          <w:rFonts w:ascii="Times New Roman" w:hAnsi="Times New Roman" w:cs="Times New Roman"/>
          <w:sz w:val="24"/>
          <w:szCs w:val="24"/>
        </w:rPr>
        <w:t xml:space="preserve"> w I kwartale 2022 r.</w:t>
      </w:r>
      <w:r w:rsidRPr="00C30D1A">
        <w:rPr>
          <w:rFonts w:ascii="Times New Roman" w:hAnsi="Times New Roman" w:cs="Times New Roman"/>
          <w:sz w:val="24"/>
          <w:szCs w:val="24"/>
        </w:rPr>
        <w:t xml:space="preserve"> zaawansowany formularz Wniosku do ULC o zezwolenie w kategorii szczególnej musiał być w ciągu raptem kilku miesięcy </w:t>
      </w:r>
      <w:r w:rsidR="001A1D24" w:rsidRPr="00C30D1A">
        <w:rPr>
          <w:rFonts w:ascii="Times New Roman" w:hAnsi="Times New Roman" w:cs="Times New Roman"/>
          <w:sz w:val="24"/>
          <w:szCs w:val="24"/>
        </w:rPr>
        <w:t xml:space="preserve">częstokroć </w:t>
      </w:r>
      <w:r w:rsidRPr="00C30D1A">
        <w:rPr>
          <w:rFonts w:ascii="Times New Roman" w:hAnsi="Times New Roman" w:cs="Times New Roman"/>
          <w:sz w:val="24"/>
          <w:szCs w:val="24"/>
        </w:rPr>
        <w:t xml:space="preserve">modyfikowany właśnie ze względu na </w:t>
      </w:r>
      <w:r w:rsidR="001A1D24" w:rsidRPr="00C30D1A">
        <w:rPr>
          <w:rFonts w:ascii="Times New Roman" w:hAnsi="Times New Roman" w:cs="Times New Roman"/>
          <w:sz w:val="24"/>
          <w:szCs w:val="24"/>
        </w:rPr>
        <w:t>pojawiające</w:t>
      </w:r>
      <w:r w:rsidRPr="00C30D1A">
        <w:rPr>
          <w:rFonts w:ascii="Times New Roman" w:hAnsi="Times New Roman" w:cs="Times New Roman"/>
          <w:sz w:val="24"/>
          <w:szCs w:val="24"/>
        </w:rPr>
        <w:t xml:space="preserve"> się nowe wytyczne w zakresie działania poszczególnych komponentów proce</w:t>
      </w:r>
      <w:r w:rsidR="00C66ECF" w:rsidRPr="00C30D1A">
        <w:rPr>
          <w:rFonts w:ascii="Times New Roman" w:hAnsi="Times New Roman" w:cs="Times New Roman"/>
          <w:sz w:val="24"/>
          <w:szCs w:val="24"/>
        </w:rPr>
        <w:t>su i konieczności oceny przez właściwą władzę lotniczą  - Prezesa ULC</w:t>
      </w:r>
      <w:r w:rsidRPr="00C30D1A">
        <w:rPr>
          <w:rFonts w:ascii="Times New Roman" w:hAnsi="Times New Roman" w:cs="Times New Roman"/>
          <w:sz w:val="24"/>
          <w:szCs w:val="24"/>
        </w:rPr>
        <w:t xml:space="preserve"> nowych informacji, jakie muszą być do </w:t>
      </w:r>
      <w:r w:rsidR="00C66ECF" w:rsidRPr="00C30D1A">
        <w:rPr>
          <w:rFonts w:ascii="Times New Roman" w:hAnsi="Times New Roman" w:cs="Times New Roman"/>
          <w:sz w:val="24"/>
          <w:szCs w:val="24"/>
        </w:rPr>
        <w:t>tego organu</w:t>
      </w:r>
      <w:r w:rsidRPr="00C30D1A">
        <w:rPr>
          <w:rFonts w:ascii="Times New Roman" w:hAnsi="Times New Roman" w:cs="Times New Roman"/>
          <w:sz w:val="24"/>
          <w:szCs w:val="24"/>
        </w:rPr>
        <w:t xml:space="preserve"> dostarczane.</w:t>
      </w:r>
    </w:p>
    <w:p w14:paraId="4176C1F0" w14:textId="24D68D38" w:rsidR="003C4CC5" w:rsidRPr="00C30D1A" w:rsidRDefault="003C4CC5" w:rsidP="00880703">
      <w:pPr>
        <w:jc w:val="both"/>
        <w:rPr>
          <w:rFonts w:ascii="Times New Roman" w:hAnsi="Times New Roman" w:cs="Times New Roman"/>
          <w:sz w:val="24"/>
          <w:szCs w:val="24"/>
        </w:rPr>
      </w:pPr>
      <w:r w:rsidRPr="00C30D1A">
        <w:rPr>
          <w:rFonts w:ascii="Times New Roman" w:hAnsi="Times New Roman" w:cs="Times New Roman"/>
          <w:sz w:val="24"/>
          <w:szCs w:val="24"/>
        </w:rPr>
        <w:lastRenderedPageBreak/>
        <w:t>Analogiczna sytuacja wystąpiła we Wniosku</w:t>
      </w:r>
      <w:r w:rsidR="00A0686D" w:rsidRPr="00C30D1A">
        <w:rPr>
          <w:rFonts w:ascii="Times New Roman" w:hAnsi="Times New Roman" w:cs="Times New Roman"/>
          <w:sz w:val="24"/>
          <w:szCs w:val="24"/>
        </w:rPr>
        <w:t xml:space="preserve"> </w:t>
      </w:r>
      <w:bookmarkStart w:id="1" w:name="_Hlk105995030"/>
      <w:r w:rsidR="00A0686D" w:rsidRPr="00C30D1A">
        <w:rPr>
          <w:rFonts w:ascii="Times New Roman" w:hAnsi="Times New Roman" w:cs="Times New Roman"/>
          <w:sz w:val="24"/>
          <w:szCs w:val="24"/>
        </w:rPr>
        <w:t>do ULC o zezwolenie na operację</w:t>
      </w:r>
      <w:bookmarkEnd w:id="1"/>
      <w:r w:rsidR="00A0686D" w:rsidRPr="00C30D1A">
        <w:rPr>
          <w:rFonts w:ascii="Times New Roman" w:hAnsi="Times New Roman" w:cs="Times New Roman"/>
          <w:sz w:val="24"/>
          <w:szCs w:val="24"/>
        </w:rPr>
        <w:t>,</w:t>
      </w:r>
      <w:r w:rsidRPr="00C30D1A">
        <w:rPr>
          <w:rFonts w:ascii="Times New Roman" w:hAnsi="Times New Roman" w:cs="Times New Roman"/>
          <w:sz w:val="24"/>
          <w:szCs w:val="24"/>
        </w:rPr>
        <w:t xml:space="preserve"> w zakresie zagadnień związanych z analizą ryzyka operacji. Nowe wytyczne w zakresie </w:t>
      </w:r>
      <w:proofErr w:type="spellStart"/>
      <w:r w:rsidR="00275945" w:rsidRPr="00C30D1A">
        <w:rPr>
          <w:rFonts w:ascii="Times New Roman" w:hAnsi="Times New Roman" w:cs="Times New Roman"/>
          <w:sz w:val="24"/>
          <w:szCs w:val="24"/>
        </w:rPr>
        <w:t>G</w:t>
      </w:r>
      <w:r w:rsidRPr="00C30D1A">
        <w:rPr>
          <w:rFonts w:ascii="Times New Roman" w:hAnsi="Times New Roman" w:cs="Times New Roman"/>
          <w:sz w:val="24"/>
          <w:szCs w:val="24"/>
        </w:rPr>
        <w:t>round</w:t>
      </w:r>
      <w:proofErr w:type="spellEnd"/>
      <w:r w:rsidRPr="00C30D1A">
        <w:rPr>
          <w:rFonts w:ascii="Times New Roman" w:hAnsi="Times New Roman" w:cs="Times New Roman"/>
          <w:sz w:val="24"/>
          <w:szCs w:val="24"/>
        </w:rPr>
        <w:t xml:space="preserve"> </w:t>
      </w:r>
      <w:proofErr w:type="spellStart"/>
      <w:r w:rsidR="00A0686D" w:rsidRPr="00C30D1A">
        <w:rPr>
          <w:rFonts w:ascii="Times New Roman" w:hAnsi="Times New Roman" w:cs="Times New Roman"/>
          <w:sz w:val="24"/>
          <w:szCs w:val="24"/>
        </w:rPr>
        <w:t>R</w:t>
      </w:r>
      <w:r w:rsidRPr="00C30D1A">
        <w:rPr>
          <w:rFonts w:ascii="Times New Roman" w:hAnsi="Times New Roman" w:cs="Times New Roman"/>
          <w:sz w:val="24"/>
          <w:szCs w:val="24"/>
        </w:rPr>
        <w:t>isk</w:t>
      </w:r>
      <w:proofErr w:type="spellEnd"/>
      <w:r w:rsidRPr="00C30D1A">
        <w:rPr>
          <w:rFonts w:ascii="Times New Roman" w:hAnsi="Times New Roman" w:cs="Times New Roman"/>
          <w:sz w:val="24"/>
          <w:szCs w:val="24"/>
        </w:rPr>
        <w:t xml:space="preserve"> spowodowały, że koniecznym było rozwinięcie modułu E-SORA o dodatkową funkcjonalność (m.in. analiza obszaru przyległego pod kątem zagrożeń naziemnych) oraz połączenie nowych procesów analitycznych z przesyłaniem tych danych w sposób automatyczny do Wniosku, który z kolei należało rozbudować o nowy komponent informacji. Wszystko to miało miejsce w ciągu raptem kilku m</w:t>
      </w:r>
      <w:r w:rsidR="00C66ECF" w:rsidRPr="00C30D1A">
        <w:rPr>
          <w:rFonts w:ascii="Times New Roman" w:hAnsi="Times New Roman" w:cs="Times New Roman"/>
          <w:sz w:val="24"/>
          <w:szCs w:val="24"/>
        </w:rPr>
        <w:t>iesięcy. PAŻP do końca 2023 r.</w:t>
      </w:r>
      <w:r w:rsidRPr="00C30D1A">
        <w:rPr>
          <w:rFonts w:ascii="Times New Roman" w:hAnsi="Times New Roman" w:cs="Times New Roman"/>
          <w:sz w:val="24"/>
          <w:szCs w:val="24"/>
        </w:rPr>
        <w:t xml:space="preserve"> jest przygotowan</w:t>
      </w:r>
      <w:r w:rsidR="00C66ECF" w:rsidRPr="00C30D1A">
        <w:rPr>
          <w:rFonts w:ascii="Times New Roman" w:hAnsi="Times New Roman" w:cs="Times New Roman"/>
          <w:sz w:val="24"/>
          <w:szCs w:val="24"/>
        </w:rPr>
        <w:t>a</w:t>
      </w:r>
      <w:r w:rsidRPr="00C30D1A">
        <w:rPr>
          <w:rFonts w:ascii="Times New Roman" w:hAnsi="Times New Roman" w:cs="Times New Roman"/>
          <w:sz w:val="24"/>
          <w:szCs w:val="24"/>
        </w:rPr>
        <w:t xml:space="preserve"> na to, aby wszelkie niezbędne zmiany w stosunku do zatwierdzonych koncepcji, czy nawet do już opracowanych komponentów IT, wytwarzać czy modyfikować na bieżąco, następnie testować i wdrażać produkcyjnie.</w:t>
      </w:r>
    </w:p>
    <w:p w14:paraId="2030B81C" w14:textId="180F84FD" w:rsidR="00275945" w:rsidRPr="00C30D1A" w:rsidRDefault="003C4CC5" w:rsidP="00880703">
      <w:pPr>
        <w:jc w:val="both"/>
        <w:rPr>
          <w:rFonts w:ascii="Times New Roman" w:hAnsi="Times New Roman" w:cs="Times New Roman"/>
          <w:sz w:val="24"/>
          <w:szCs w:val="24"/>
        </w:rPr>
      </w:pPr>
      <w:r w:rsidRPr="00C30D1A">
        <w:rPr>
          <w:rFonts w:ascii="Times New Roman" w:hAnsi="Times New Roman" w:cs="Times New Roman"/>
          <w:sz w:val="24"/>
          <w:szCs w:val="24"/>
        </w:rPr>
        <w:t>Naturalną konsekwencją wdrażania innowacyjnych Usług jest to, że ze względu na swoją wyjątkowość i złożoność będą w pierwszych latach - w ramach utrzymywania usług - wymagały doskonalenia, dokonywania licznych poprawek i usprawnień, aby usługi te działały w miarę możliwości optymalnie, uwzględniały bieżące potrzeby użytkowników</w:t>
      </w:r>
      <w:r w:rsidR="00C66ECF" w:rsidRPr="00C30D1A">
        <w:rPr>
          <w:rFonts w:ascii="Times New Roman" w:hAnsi="Times New Roman" w:cs="Times New Roman"/>
          <w:sz w:val="24"/>
          <w:szCs w:val="24"/>
        </w:rPr>
        <w:t>, a</w:t>
      </w:r>
      <w:r w:rsidRPr="00C30D1A">
        <w:rPr>
          <w:rFonts w:ascii="Times New Roman" w:hAnsi="Times New Roman" w:cs="Times New Roman"/>
          <w:sz w:val="24"/>
          <w:szCs w:val="24"/>
        </w:rPr>
        <w:t xml:space="preserve"> równolegle</w:t>
      </w:r>
      <w:r w:rsidR="00C66ECF" w:rsidRPr="00C30D1A">
        <w:rPr>
          <w:rFonts w:ascii="Times New Roman" w:hAnsi="Times New Roman" w:cs="Times New Roman"/>
          <w:sz w:val="24"/>
          <w:szCs w:val="24"/>
        </w:rPr>
        <w:t>,</w:t>
      </w:r>
      <w:r w:rsidRPr="00C30D1A">
        <w:rPr>
          <w:rFonts w:ascii="Times New Roman" w:hAnsi="Times New Roman" w:cs="Times New Roman"/>
          <w:sz w:val="24"/>
          <w:szCs w:val="24"/>
        </w:rPr>
        <w:t xml:space="preserve"> aby stale zachowywały najwyższy poziom bezpieczeństwa lotniczego.</w:t>
      </w:r>
      <w:r w:rsidR="00275945" w:rsidRPr="00C30D1A">
        <w:rPr>
          <w:rFonts w:ascii="Times New Roman" w:hAnsi="Times New Roman" w:cs="Times New Roman"/>
          <w:sz w:val="24"/>
          <w:szCs w:val="24"/>
        </w:rPr>
        <w:t xml:space="preserve"> Jest to naturalne działanie zgodne również ze stosowaną w lotnictwie kulturą bezpieczeństwa (</w:t>
      </w:r>
      <w:proofErr w:type="spellStart"/>
      <w:r w:rsidR="00275945" w:rsidRPr="00C30D1A">
        <w:rPr>
          <w:rFonts w:ascii="Times New Roman" w:hAnsi="Times New Roman" w:cs="Times New Roman"/>
          <w:sz w:val="24"/>
          <w:szCs w:val="24"/>
        </w:rPr>
        <w:t>Safety</w:t>
      </w:r>
      <w:proofErr w:type="spellEnd"/>
      <w:r w:rsidR="00275945" w:rsidRPr="00C30D1A">
        <w:rPr>
          <w:rFonts w:ascii="Times New Roman" w:hAnsi="Times New Roman" w:cs="Times New Roman"/>
          <w:sz w:val="24"/>
          <w:szCs w:val="24"/>
        </w:rPr>
        <w:t xml:space="preserve"> </w:t>
      </w:r>
      <w:proofErr w:type="spellStart"/>
      <w:r w:rsidR="00275945" w:rsidRPr="00C30D1A">
        <w:rPr>
          <w:rFonts w:ascii="Times New Roman" w:hAnsi="Times New Roman" w:cs="Times New Roman"/>
          <w:sz w:val="24"/>
          <w:szCs w:val="24"/>
        </w:rPr>
        <w:t>culture</w:t>
      </w:r>
      <w:proofErr w:type="spellEnd"/>
      <w:r w:rsidR="00275945" w:rsidRPr="00C30D1A">
        <w:rPr>
          <w:rFonts w:ascii="Times New Roman" w:hAnsi="Times New Roman" w:cs="Times New Roman"/>
          <w:sz w:val="24"/>
          <w:szCs w:val="24"/>
        </w:rPr>
        <w:t xml:space="preserve">), która opiera się na konieczności stałego doskonalenia procesów związanych z bezpieczeństwem ruchu lotniczego, w tym reagowania na zgłaszane nieprawidłowości w procedurach, </w:t>
      </w:r>
      <w:proofErr w:type="spellStart"/>
      <w:r w:rsidR="00275945" w:rsidRPr="00C30D1A">
        <w:rPr>
          <w:rFonts w:ascii="Times New Roman" w:hAnsi="Times New Roman" w:cs="Times New Roman"/>
          <w:sz w:val="24"/>
          <w:szCs w:val="24"/>
        </w:rPr>
        <w:t>zachowaniach</w:t>
      </w:r>
      <w:proofErr w:type="spellEnd"/>
      <w:r w:rsidR="00275945" w:rsidRPr="00C30D1A">
        <w:rPr>
          <w:rFonts w:ascii="Times New Roman" w:hAnsi="Times New Roman" w:cs="Times New Roman"/>
          <w:sz w:val="24"/>
          <w:szCs w:val="24"/>
        </w:rPr>
        <w:t xml:space="preserve"> personelu czy w pracy działania systemów i narzędzi wsparcia.</w:t>
      </w:r>
    </w:p>
    <w:p w14:paraId="4EA0FC29" w14:textId="78143A88" w:rsidR="003C4CC5" w:rsidRPr="00C30D1A" w:rsidRDefault="003C4CC5" w:rsidP="00880703">
      <w:pPr>
        <w:jc w:val="both"/>
        <w:rPr>
          <w:rFonts w:ascii="Times New Roman" w:hAnsi="Times New Roman" w:cs="Times New Roman"/>
          <w:sz w:val="24"/>
          <w:szCs w:val="24"/>
        </w:rPr>
      </w:pPr>
      <w:r w:rsidRPr="00C30D1A">
        <w:rPr>
          <w:rFonts w:ascii="Times New Roman" w:hAnsi="Times New Roman" w:cs="Times New Roman"/>
          <w:sz w:val="24"/>
          <w:szCs w:val="24"/>
        </w:rPr>
        <w:t>Poza powyższymi zadaniami</w:t>
      </w:r>
      <w:r w:rsidR="00275945" w:rsidRPr="00C30D1A">
        <w:rPr>
          <w:rFonts w:ascii="Times New Roman" w:hAnsi="Times New Roman" w:cs="Times New Roman"/>
          <w:sz w:val="24"/>
          <w:szCs w:val="24"/>
        </w:rPr>
        <w:t xml:space="preserve"> oraz poza zadaniami czysto programistycznymi związanymi z zachowaniem poprawności działania systemu i jego stabilności,  </w:t>
      </w:r>
      <w:r w:rsidR="0081445C" w:rsidRPr="00C30D1A">
        <w:rPr>
          <w:rFonts w:ascii="Times New Roman" w:hAnsi="Times New Roman" w:cs="Times New Roman"/>
          <w:sz w:val="24"/>
          <w:szCs w:val="24"/>
        </w:rPr>
        <w:t xml:space="preserve">z </w:t>
      </w:r>
      <w:r w:rsidR="00275945" w:rsidRPr="00C30D1A">
        <w:rPr>
          <w:rFonts w:ascii="Times New Roman" w:hAnsi="Times New Roman" w:cs="Times New Roman"/>
          <w:sz w:val="24"/>
          <w:szCs w:val="24"/>
        </w:rPr>
        <w:t>naprawiani</w:t>
      </w:r>
      <w:r w:rsidR="0081445C" w:rsidRPr="00C30D1A">
        <w:rPr>
          <w:rFonts w:ascii="Times New Roman" w:hAnsi="Times New Roman" w:cs="Times New Roman"/>
          <w:sz w:val="24"/>
          <w:szCs w:val="24"/>
        </w:rPr>
        <w:t>em</w:t>
      </w:r>
      <w:r w:rsidR="00275945" w:rsidRPr="00C30D1A">
        <w:rPr>
          <w:rFonts w:ascii="Times New Roman" w:hAnsi="Times New Roman" w:cs="Times New Roman"/>
          <w:sz w:val="24"/>
          <w:szCs w:val="24"/>
        </w:rPr>
        <w:t xml:space="preserve"> błędów</w:t>
      </w:r>
      <w:r w:rsidR="0081445C" w:rsidRPr="00C30D1A">
        <w:rPr>
          <w:rFonts w:ascii="Times New Roman" w:hAnsi="Times New Roman" w:cs="Times New Roman"/>
          <w:sz w:val="24"/>
          <w:szCs w:val="24"/>
        </w:rPr>
        <w:t>,</w:t>
      </w:r>
      <w:r w:rsidR="00275945" w:rsidRPr="00C30D1A">
        <w:rPr>
          <w:rFonts w:ascii="Times New Roman" w:hAnsi="Times New Roman" w:cs="Times New Roman"/>
          <w:sz w:val="24"/>
          <w:szCs w:val="24"/>
        </w:rPr>
        <w:t xml:space="preserve"> </w:t>
      </w:r>
      <w:r w:rsidR="0081445C" w:rsidRPr="00C30D1A">
        <w:rPr>
          <w:rFonts w:ascii="Times New Roman" w:hAnsi="Times New Roman" w:cs="Times New Roman"/>
          <w:sz w:val="24"/>
          <w:szCs w:val="24"/>
        </w:rPr>
        <w:t xml:space="preserve">testowaniem oprogramowania, </w:t>
      </w:r>
      <w:r w:rsidR="00275945" w:rsidRPr="00C30D1A">
        <w:rPr>
          <w:rFonts w:ascii="Times New Roman" w:hAnsi="Times New Roman" w:cs="Times New Roman"/>
          <w:sz w:val="24"/>
          <w:szCs w:val="24"/>
        </w:rPr>
        <w:t>wdrażani</w:t>
      </w:r>
      <w:r w:rsidR="0081445C" w:rsidRPr="00C30D1A">
        <w:rPr>
          <w:rFonts w:ascii="Times New Roman" w:hAnsi="Times New Roman" w:cs="Times New Roman"/>
          <w:sz w:val="24"/>
          <w:szCs w:val="24"/>
        </w:rPr>
        <w:t>em</w:t>
      </w:r>
      <w:r w:rsidR="00275945" w:rsidRPr="00C30D1A">
        <w:rPr>
          <w:rFonts w:ascii="Times New Roman" w:hAnsi="Times New Roman" w:cs="Times New Roman"/>
          <w:sz w:val="24"/>
          <w:szCs w:val="24"/>
        </w:rPr>
        <w:t xml:space="preserve"> poprawek,</w:t>
      </w:r>
      <w:r w:rsidR="0081445C" w:rsidRPr="00C30D1A">
        <w:rPr>
          <w:rFonts w:ascii="Times New Roman" w:hAnsi="Times New Roman" w:cs="Times New Roman"/>
          <w:sz w:val="24"/>
          <w:szCs w:val="24"/>
        </w:rPr>
        <w:t xml:space="preserve"> zmian w konfiguracjach systemów i zabezpieczeniach (</w:t>
      </w:r>
      <w:proofErr w:type="spellStart"/>
      <w:r w:rsidR="0081445C" w:rsidRPr="00C30D1A">
        <w:rPr>
          <w:rFonts w:ascii="Times New Roman" w:hAnsi="Times New Roman" w:cs="Times New Roman"/>
          <w:sz w:val="24"/>
          <w:szCs w:val="24"/>
        </w:rPr>
        <w:t>cyber</w:t>
      </w:r>
      <w:proofErr w:type="spellEnd"/>
      <w:r w:rsidR="0081445C" w:rsidRPr="00C30D1A">
        <w:rPr>
          <w:rFonts w:ascii="Times New Roman" w:hAnsi="Times New Roman" w:cs="Times New Roman"/>
          <w:sz w:val="24"/>
          <w:szCs w:val="24"/>
        </w:rPr>
        <w:t xml:space="preserve"> </w:t>
      </w:r>
      <w:proofErr w:type="spellStart"/>
      <w:r w:rsidR="0081445C" w:rsidRPr="00C30D1A">
        <w:rPr>
          <w:rFonts w:ascii="Times New Roman" w:hAnsi="Times New Roman" w:cs="Times New Roman"/>
          <w:sz w:val="24"/>
          <w:szCs w:val="24"/>
        </w:rPr>
        <w:t>seciurity</w:t>
      </w:r>
      <w:proofErr w:type="spellEnd"/>
      <w:r w:rsidR="0081445C" w:rsidRPr="00C30D1A">
        <w:rPr>
          <w:rFonts w:ascii="Times New Roman" w:hAnsi="Times New Roman" w:cs="Times New Roman"/>
          <w:sz w:val="24"/>
          <w:szCs w:val="24"/>
        </w:rPr>
        <w:t>),</w:t>
      </w:r>
      <w:r w:rsidRPr="00C30D1A">
        <w:rPr>
          <w:rFonts w:ascii="Times New Roman" w:hAnsi="Times New Roman" w:cs="Times New Roman"/>
          <w:sz w:val="24"/>
          <w:szCs w:val="24"/>
        </w:rPr>
        <w:t xml:space="preserve"> w ramach należytego utrzymania usług Projektu niezbędna będzie realizacja </w:t>
      </w:r>
      <w:r w:rsidR="00275945" w:rsidRPr="00C30D1A">
        <w:rPr>
          <w:rFonts w:ascii="Times New Roman" w:hAnsi="Times New Roman" w:cs="Times New Roman"/>
          <w:sz w:val="24"/>
          <w:szCs w:val="24"/>
        </w:rPr>
        <w:t xml:space="preserve">m.in. </w:t>
      </w:r>
      <w:r w:rsidRPr="00C30D1A">
        <w:rPr>
          <w:rFonts w:ascii="Times New Roman" w:hAnsi="Times New Roman" w:cs="Times New Roman"/>
          <w:sz w:val="24"/>
          <w:szCs w:val="24"/>
        </w:rPr>
        <w:t>następujących działań:</w:t>
      </w:r>
    </w:p>
    <w:p w14:paraId="10F68B09" w14:textId="77777777" w:rsidR="003C4CC5" w:rsidRPr="00C30D1A" w:rsidRDefault="003C4CC5" w:rsidP="00C66ECF">
      <w:pPr>
        <w:pStyle w:val="Akapitzlist"/>
        <w:numPr>
          <w:ilvl w:val="0"/>
          <w:numId w:val="16"/>
        </w:numPr>
        <w:jc w:val="both"/>
        <w:rPr>
          <w:rFonts w:ascii="Times New Roman" w:hAnsi="Times New Roman" w:cs="Times New Roman"/>
          <w:sz w:val="24"/>
          <w:szCs w:val="24"/>
          <w:u w:val="single"/>
        </w:rPr>
      </w:pPr>
      <w:r w:rsidRPr="00C30D1A">
        <w:rPr>
          <w:rFonts w:ascii="Times New Roman" w:hAnsi="Times New Roman" w:cs="Times New Roman"/>
          <w:sz w:val="24"/>
          <w:szCs w:val="24"/>
          <w:u w:val="single"/>
        </w:rPr>
        <w:t>Aktualizacja numerycznego modelu terenu  (przeszkody wpływające na loty BSP – DTM Autonomia - „Zaawansowane loty BSP na szeroką skalę”)</w:t>
      </w:r>
    </w:p>
    <w:p w14:paraId="5D409F73" w14:textId="74B89634" w:rsidR="003C4CC5" w:rsidRPr="00C30D1A" w:rsidRDefault="003C4CC5" w:rsidP="00880703">
      <w:pPr>
        <w:jc w:val="both"/>
        <w:rPr>
          <w:rFonts w:ascii="Times New Roman" w:hAnsi="Times New Roman" w:cs="Times New Roman"/>
          <w:sz w:val="24"/>
          <w:szCs w:val="24"/>
        </w:rPr>
      </w:pPr>
      <w:r w:rsidRPr="00C30D1A">
        <w:rPr>
          <w:rFonts w:ascii="Times New Roman" w:hAnsi="Times New Roman" w:cs="Times New Roman"/>
          <w:sz w:val="24"/>
          <w:szCs w:val="24"/>
        </w:rPr>
        <w:t xml:space="preserve">Niezbędne jest aktualizowanie systemu </w:t>
      </w:r>
      <w:r w:rsidR="00A0686D" w:rsidRPr="00C30D1A">
        <w:rPr>
          <w:rFonts w:ascii="Times New Roman" w:hAnsi="Times New Roman" w:cs="Times New Roman"/>
          <w:sz w:val="24"/>
          <w:szCs w:val="24"/>
        </w:rPr>
        <w:t xml:space="preserve">(minimum w 3 obszarach – tych gdzie wdrożono w/w usługę) </w:t>
      </w:r>
      <w:r w:rsidRPr="00C30D1A">
        <w:rPr>
          <w:rFonts w:ascii="Times New Roman" w:hAnsi="Times New Roman" w:cs="Times New Roman"/>
          <w:sz w:val="24"/>
          <w:szCs w:val="24"/>
        </w:rPr>
        <w:t xml:space="preserve">o dane w zakresie </w:t>
      </w:r>
      <w:r w:rsidR="00A0686D" w:rsidRPr="00C30D1A">
        <w:rPr>
          <w:rFonts w:ascii="Times New Roman" w:hAnsi="Times New Roman" w:cs="Times New Roman"/>
          <w:sz w:val="24"/>
          <w:szCs w:val="24"/>
        </w:rPr>
        <w:t xml:space="preserve">występujących </w:t>
      </w:r>
      <w:r w:rsidRPr="00C30D1A">
        <w:rPr>
          <w:rFonts w:ascii="Times New Roman" w:hAnsi="Times New Roman" w:cs="Times New Roman"/>
          <w:sz w:val="24"/>
          <w:szCs w:val="24"/>
        </w:rPr>
        <w:t>„przeszkód”, ze względu na dostarczanie przez system użytkownikom informacji w zakresie b</w:t>
      </w:r>
      <w:r w:rsidR="00885108">
        <w:rPr>
          <w:rFonts w:ascii="Times New Roman" w:hAnsi="Times New Roman" w:cs="Times New Roman"/>
          <w:sz w:val="24"/>
          <w:szCs w:val="24"/>
        </w:rPr>
        <w:t>ezpieczeństwa lotu w powietrzu.</w:t>
      </w:r>
    </w:p>
    <w:p w14:paraId="1331EE0D" w14:textId="2E3D8BF0" w:rsidR="003C4CC5" w:rsidRPr="00C30D1A" w:rsidRDefault="003C4CC5" w:rsidP="00880703">
      <w:pPr>
        <w:jc w:val="both"/>
        <w:rPr>
          <w:rFonts w:ascii="Times New Roman" w:hAnsi="Times New Roman" w:cs="Times New Roman"/>
          <w:sz w:val="24"/>
          <w:szCs w:val="24"/>
        </w:rPr>
      </w:pPr>
      <w:r w:rsidRPr="00C30D1A">
        <w:rPr>
          <w:rFonts w:ascii="Times New Roman" w:hAnsi="Times New Roman" w:cs="Times New Roman"/>
          <w:sz w:val="24"/>
          <w:szCs w:val="24"/>
        </w:rPr>
        <w:t>Dane będzie należało pozyskiwać, przetworzyć</w:t>
      </w:r>
      <w:r w:rsidR="00C66ECF" w:rsidRPr="00C30D1A">
        <w:rPr>
          <w:rFonts w:ascii="Times New Roman" w:hAnsi="Times New Roman" w:cs="Times New Roman"/>
          <w:sz w:val="24"/>
          <w:szCs w:val="24"/>
        </w:rPr>
        <w:t>,</w:t>
      </w:r>
      <w:r w:rsidRPr="00C30D1A">
        <w:rPr>
          <w:rFonts w:ascii="Times New Roman" w:hAnsi="Times New Roman" w:cs="Times New Roman"/>
          <w:sz w:val="24"/>
          <w:szCs w:val="24"/>
        </w:rPr>
        <w:t xml:space="preserve"> a następnie zbudować aktualny model wysokościowy dla działających usług</w:t>
      </w:r>
      <w:r w:rsidR="00A0686D" w:rsidRPr="00C30D1A">
        <w:rPr>
          <w:rFonts w:ascii="Times New Roman" w:hAnsi="Times New Roman" w:cs="Times New Roman"/>
          <w:sz w:val="24"/>
          <w:szCs w:val="24"/>
        </w:rPr>
        <w:t>, w tym dokonać rekalkulacji DMSA (</w:t>
      </w:r>
      <w:proofErr w:type="spellStart"/>
      <w:r w:rsidR="00A0686D" w:rsidRPr="00C30D1A">
        <w:rPr>
          <w:rFonts w:ascii="Times New Roman" w:hAnsi="Times New Roman" w:cs="Times New Roman"/>
          <w:sz w:val="24"/>
          <w:szCs w:val="24"/>
        </w:rPr>
        <w:t>Drone</w:t>
      </w:r>
      <w:proofErr w:type="spellEnd"/>
      <w:r w:rsidR="00A0686D" w:rsidRPr="00C30D1A">
        <w:rPr>
          <w:rFonts w:ascii="Times New Roman" w:hAnsi="Times New Roman" w:cs="Times New Roman"/>
          <w:sz w:val="24"/>
          <w:szCs w:val="24"/>
        </w:rPr>
        <w:t xml:space="preserve"> Minimum </w:t>
      </w:r>
      <w:proofErr w:type="spellStart"/>
      <w:r w:rsidR="00A0686D" w:rsidRPr="00C30D1A">
        <w:rPr>
          <w:rFonts w:ascii="Times New Roman" w:hAnsi="Times New Roman" w:cs="Times New Roman"/>
          <w:sz w:val="24"/>
          <w:szCs w:val="24"/>
        </w:rPr>
        <w:t>Safety</w:t>
      </w:r>
      <w:proofErr w:type="spellEnd"/>
      <w:r w:rsidR="00A0686D" w:rsidRPr="00C30D1A">
        <w:rPr>
          <w:rFonts w:ascii="Times New Roman" w:hAnsi="Times New Roman" w:cs="Times New Roman"/>
          <w:sz w:val="24"/>
          <w:szCs w:val="24"/>
        </w:rPr>
        <w:t xml:space="preserve"> </w:t>
      </w:r>
      <w:proofErr w:type="spellStart"/>
      <w:r w:rsidR="00A0686D" w:rsidRPr="00C30D1A">
        <w:rPr>
          <w:rFonts w:ascii="Times New Roman" w:hAnsi="Times New Roman" w:cs="Times New Roman"/>
          <w:sz w:val="24"/>
          <w:szCs w:val="24"/>
        </w:rPr>
        <w:t>Altitute</w:t>
      </w:r>
      <w:proofErr w:type="spellEnd"/>
      <w:r w:rsidR="00A0686D" w:rsidRPr="00C30D1A">
        <w:rPr>
          <w:rFonts w:ascii="Times New Roman" w:hAnsi="Times New Roman" w:cs="Times New Roman"/>
          <w:sz w:val="24"/>
          <w:szCs w:val="24"/>
        </w:rPr>
        <w:t>) dla każdego z obszarów objętych działaniem usługi</w:t>
      </w:r>
      <w:r w:rsidRPr="00C30D1A">
        <w:rPr>
          <w:rFonts w:ascii="Times New Roman" w:hAnsi="Times New Roman" w:cs="Times New Roman"/>
          <w:sz w:val="24"/>
          <w:szCs w:val="24"/>
        </w:rPr>
        <w:t xml:space="preserve">. W przypadku zmian (co jest naturalnym wynikiem takich aktualizacji) niezbędna będzie każdorazowo analiza pod kątem wpływu </w:t>
      </w:r>
      <w:r w:rsidR="00A0686D" w:rsidRPr="00C30D1A">
        <w:rPr>
          <w:rFonts w:ascii="Times New Roman" w:hAnsi="Times New Roman" w:cs="Times New Roman"/>
          <w:sz w:val="24"/>
          <w:szCs w:val="24"/>
        </w:rPr>
        <w:t xml:space="preserve">nowych </w:t>
      </w:r>
      <w:r w:rsidRPr="00C30D1A">
        <w:rPr>
          <w:rFonts w:ascii="Times New Roman" w:hAnsi="Times New Roman" w:cs="Times New Roman"/>
          <w:sz w:val="24"/>
          <w:szCs w:val="24"/>
        </w:rPr>
        <w:t>danych na stałą sieć tras lotów BSP w danym obszarze i dokonanie ewentualnym zmian w przebiegu tras. Wymagać to będzie opracowania merytorycznego</w:t>
      </w:r>
      <w:r w:rsidR="00C66ECF" w:rsidRPr="00C30D1A">
        <w:rPr>
          <w:rFonts w:ascii="Times New Roman" w:hAnsi="Times New Roman" w:cs="Times New Roman"/>
          <w:sz w:val="24"/>
          <w:szCs w:val="24"/>
        </w:rPr>
        <w:t>,</w:t>
      </w:r>
      <w:r w:rsidRPr="00C30D1A">
        <w:rPr>
          <w:rFonts w:ascii="Times New Roman" w:hAnsi="Times New Roman" w:cs="Times New Roman"/>
          <w:sz w:val="24"/>
          <w:szCs w:val="24"/>
        </w:rPr>
        <w:t xml:space="preserve"> a następnie prac technicznych zwią</w:t>
      </w:r>
      <w:r w:rsidR="00C66ECF" w:rsidRPr="00C30D1A">
        <w:rPr>
          <w:rFonts w:ascii="Times New Roman" w:hAnsi="Times New Roman" w:cs="Times New Roman"/>
          <w:sz w:val="24"/>
          <w:szCs w:val="24"/>
        </w:rPr>
        <w:t>zanych z wprowadzeniem stosownych</w:t>
      </w:r>
      <w:r w:rsidRPr="00C30D1A">
        <w:rPr>
          <w:rFonts w:ascii="Times New Roman" w:hAnsi="Times New Roman" w:cs="Times New Roman"/>
          <w:sz w:val="24"/>
          <w:szCs w:val="24"/>
        </w:rPr>
        <w:t xml:space="preserve"> informacji i ustawień do systemu obsługującego usługę.  </w:t>
      </w:r>
      <w:r w:rsidR="00A0686D" w:rsidRPr="00C30D1A">
        <w:rPr>
          <w:rFonts w:ascii="Times New Roman" w:hAnsi="Times New Roman" w:cs="Times New Roman"/>
          <w:sz w:val="24"/>
          <w:szCs w:val="24"/>
        </w:rPr>
        <w:t>Całość prac zwieńczy opracowanie przez osobę merytoryczną procedur testowych</w:t>
      </w:r>
      <w:r w:rsidR="00C66ECF" w:rsidRPr="00C30D1A">
        <w:rPr>
          <w:rFonts w:ascii="Times New Roman" w:hAnsi="Times New Roman" w:cs="Times New Roman"/>
          <w:sz w:val="24"/>
          <w:szCs w:val="24"/>
        </w:rPr>
        <w:t>,</w:t>
      </w:r>
      <w:r w:rsidR="00A0686D" w:rsidRPr="00C30D1A">
        <w:rPr>
          <w:rFonts w:ascii="Times New Roman" w:hAnsi="Times New Roman" w:cs="Times New Roman"/>
          <w:sz w:val="24"/>
          <w:szCs w:val="24"/>
        </w:rPr>
        <w:t xml:space="preserve"> a następnie przeprowadzenie przezeń testów i wytw</w:t>
      </w:r>
      <w:r w:rsidR="00885108">
        <w:rPr>
          <w:rFonts w:ascii="Times New Roman" w:hAnsi="Times New Roman" w:cs="Times New Roman"/>
          <w:sz w:val="24"/>
          <w:szCs w:val="24"/>
        </w:rPr>
        <w:t>orzenie stosownej dokumentacji.</w:t>
      </w:r>
    </w:p>
    <w:p w14:paraId="2BAA0386" w14:textId="7D4FBB4B" w:rsidR="00EA4969" w:rsidRPr="00C30D1A" w:rsidRDefault="00EA4969" w:rsidP="00880703">
      <w:pPr>
        <w:jc w:val="both"/>
        <w:rPr>
          <w:rFonts w:ascii="Times New Roman" w:hAnsi="Times New Roman" w:cs="Times New Roman"/>
          <w:sz w:val="24"/>
          <w:szCs w:val="24"/>
        </w:rPr>
      </w:pPr>
      <w:r w:rsidRPr="00C30D1A">
        <w:rPr>
          <w:rFonts w:ascii="Times New Roman" w:hAnsi="Times New Roman" w:cs="Times New Roman"/>
          <w:sz w:val="24"/>
          <w:szCs w:val="24"/>
        </w:rPr>
        <w:t>Działanie te będą realizowane przez personel merytoryczny projektu oraz przez zespół IT</w:t>
      </w:r>
      <w:r w:rsidR="00C66ECF" w:rsidRPr="00C30D1A">
        <w:rPr>
          <w:rFonts w:ascii="Times New Roman" w:hAnsi="Times New Roman" w:cs="Times New Roman"/>
          <w:sz w:val="24"/>
          <w:szCs w:val="24"/>
        </w:rPr>
        <w:t>.</w:t>
      </w:r>
    </w:p>
    <w:p w14:paraId="1E622755" w14:textId="199633B7" w:rsidR="00252757" w:rsidRPr="00C30D1A" w:rsidRDefault="00252757" w:rsidP="00C66ECF">
      <w:pPr>
        <w:pStyle w:val="Akapitzlist"/>
        <w:numPr>
          <w:ilvl w:val="0"/>
          <w:numId w:val="16"/>
        </w:numPr>
        <w:jc w:val="both"/>
        <w:rPr>
          <w:rFonts w:ascii="Times New Roman" w:hAnsi="Times New Roman" w:cs="Times New Roman"/>
          <w:sz w:val="24"/>
          <w:szCs w:val="24"/>
          <w:u w:val="single"/>
        </w:rPr>
      </w:pPr>
      <w:r w:rsidRPr="00C30D1A">
        <w:rPr>
          <w:rFonts w:ascii="Times New Roman" w:hAnsi="Times New Roman" w:cs="Times New Roman"/>
          <w:sz w:val="24"/>
          <w:szCs w:val="24"/>
          <w:u w:val="single"/>
        </w:rPr>
        <w:t>Aktualizacja bazy danych BSP  (DTM Autonomia - „Zaawansowane loty BSP na szeroką skalę”</w:t>
      </w:r>
      <w:r w:rsidR="007A0F2D" w:rsidRPr="00C30D1A">
        <w:rPr>
          <w:rFonts w:ascii="Times New Roman" w:hAnsi="Times New Roman" w:cs="Times New Roman"/>
          <w:sz w:val="24"/>
          <w:szCs w:val="24"/>
          <w:u w:val="single"/>
        </w:rPr>
        <w:t>,</w:t>
      </w:r>
      <w:r w:rsidRPr="00C30D1A">
        <w:rPr>
          <w:rFonts w:ascii="Times New Roman" w:hAnsi="Times New Roman" w:cs="Times New Roman"/>
          <w:sz w:val="24"/>
          <w:szCs w:val="24"/>
          <w:u w:val="single"/>
        </w:rPr>
        <w:t xml:space="preserve">  moduł e-SORA</w:t>
      </w:r>
      <w:r w:rsidR="007A0F2D" w:rsidRPr="00C30D1A">
        <w:rPr>
          <w:rFonts w:ascii="Times New Roman" w:hAnsi="Times New Roman" w:cs="Times New Roman"/>
          <w:sz w:val="24"/>
          <w:szCs w:val="24"/>
          <w:u w:val="single"/>
        </w:rPr>
        <w:t>, „Obsługa spraw związanych z nadawaniem uprawnień do wykonywania lotów BSP” oraz „e-learning”)</w:t>
      </w:r>
    </w:p>
    <w:p w14:paraId="0421C3D3" w14:textId="56A243BF" w:rsidR="00252757" w:rsidRPr="00C30D1A" w:rsidRDefault="00252757" w:rsidP="00880703">
      <w:pPr>
        <w:jc w:val="both"/>
        <w:rPr>
          <w:rFonts w:ascii="Times New Roman" w:hAnsi="Times New Roman" w:cs="Times New Roman"/>
          <w:sz w:val="24"/>
          <w:szCs w:val="24"/>
        </w:rPr>
      </w:pPr>
      <w:r w:rsidRPr="00C30D1A">
        <w:rPr>
          <w:rFonts w:ascii="Times New Roman" w:hAnsi="Times New Roman" w:cs="Times New Roman"/>
          <w:sz w:val="24"/>
          <w:szCs w:val="24"/>
        </w:rPr>
        <w:lastRenderedPageBreak/>
        <w:t>Jednym z kluczowych zagadnień związanych z umożliwieniem automatycznego procedowania planów misji oraz analizy ryzyka operacji BSP jest utrzymywanie aktualnej bazy danych BSP, która będzie posiadała szczegółowe informacje dotyczące poszczególnych typów BSP. Informacje te będą automatycznie zasysane zarówno przy funkcji dodawania BSP d</w:t>
      </w:r>
      <w:r w:rsidR="00C66ECF" w:rsidRPr="00C30D1A">
        <w:rPr>
          <w:rFonts w:ascii="Times New Roman" w:hAnsi="Times New Roman" w:cs="Times New Roman"/>
          <w:sz w:val="24"/>
          <w:szCs w:val="24"/>
        </w:rPr>
        <w:t>o konta o</w:t>
      </w:r>
      <w:r w:rsidRPr="00C30D1A">
        <w:rPr>
          <w:rFonts w:ascii="Times New Roman" w:hAnsi="Times New Roman" w:cs="Times New Roman"/>
          <w:sz w:val="24"/>
          <w:szCs w:val="24"/>
        </w:rPr>
        <w:t xml:space="preserve">peratora </w:t>
      </w:r>
      <w:r w:rsidR="00C66ECF" w:rsidRPr="00C30D1A">
        <w:rPr>
          <w:rFonts w:ascii="Times New Roman" w:hAnsi="Times New Roman" w:cs="Times New Roman"/>
          <w:sz w:val="24"/>
          <w:szCs w:val="24"/>
        </w:rPr>
        <w:t xml:space="preserve">systemu </w:t>
      </w:r>
      <w:r w:rsidRPr="00C30D1A">
        <w:rPr>
          <w:rFonts w:ascii="Times New Roman" w:hAnsi="Times New Roman" w:cs="Times New Roman"/>
          <w:sz w:val="24"/>
          <w:szCs w:val="24"/>
        </w:rPr>
        <w:t xml:space="preserve">BSP, </w:t>
      </w:r>
      <w:r w:rsidR="00275945" w:rsidRPr="00C30D1A">
        <w:rPr>
          <w:rFonts w:ascii="Times New Roman" w:hAnsi="Times New Roman" w:cs="Times New Roman"/>
          <w:sz w:val="24"/>
          <w:szCs w:val="24"/>
        </w:rPr>
        <w:t xml:space="preserve">jak również </w:t>
      </w:r>
      <w:r w:rsidRPr="00C30D1A">
        <w:rPr>
          <w:rFonts w:ascii="Times New Roman" w:hAnsi="Times New Roman" w:cs="Times New Roman"/>
          <w:sz w:val="24"/>
          <w:szCs w:val="24"/>
        </w:rPr>
        <w:t>przy planowaniu misji w kontekście doboru trybu lotu, kategorii lotu, rodzaju operacji i sposobu procedowania misji w kontekście posiadanych uprawnień i zezwoleń.</w:t>
      </w:r>
      <w:r w:rsidR="00275945" w:rsidRPr="00C30D1A">
        <w:rPr>
          <w:rFonts w:ascii="Times New Roman" w:hAnsi="Times New Roman" w:cs="Times New Roman"/>
          <w:sz w:val="24"/>
          <w:szCs w:val="24"/>
        </w:rPr>
        <w:t xml:space="preserve"> Wreszcie parametry BSP wskazanego do realizacji misji będą autom</w:t>
      </w:r>
      <w:r w:rsidR="007A0F2D" w:rsidRPr="00C30D1A">
        <w:rPr>
          <w:rFonts w:ascii="Times New Roman" w:hAnsi="Times New Roman" w:cs="Times New Roman"/>
          <w:sz w:val="24"/>
          <w:szCs w:val="24"/>
        </w:rPr>
        <w:t>a</w:t>
      </w:r>
      <w:r w:rsidR="00275945" w:rsidRPr="00C30D1A">
        <w:rPr>
          <w:rFonts w:ascii="Times New Roman" w:hAnsi="Times New Roman" w:cs="Times New Roman"/>
          <w:sz w:val="24"/>
          <w:szCs w:val="24"/>
        </w:rPr>
        <w:t>tycznie przetwarzane przez moduł a</w:t>
      </w:r>
      <w:r w:rsidR="00885108">
        <w:rPr>
          <w:rFonts w:ascii="Times New Roman" w:hAnsi="Times New Roman" w:cs="Times New Roman"/>
          <w:sz w:val="24"/>
          <w:szCs w:val="24"/>
        </w:rPr>
        <w:t>nalizy ryzyka operacji – e-SORA.</w:t>
      </w:r>
    </w:p>
    <w:p w14:paraId="0DABB403" w14:textId="29387293" w:rsidR="00252757" w:rsidRPr="00C30D1A" w:rsidRDefault="00252757" w:rsidP="00880703">
      <w:pPr>
        <w:jc w:val="both"/>
        <w:rPr>
          <w:rFonts w:ascii="Times New Roman" w:hAnsi="Times New Roman" w:cs="Times New Roman"/>
          <w:sz w:val="24"/>
          <w:szCs w:val="24"/>
        </w:rPr>
      </w:pPr>
      <w:r w:rsidRPr="00C30D1A">
        <w:rPr>
          <w:rFonts w:ascii="Times New Roman" w:hAnsi="Times New Roman" w:cs="Times New Roman"/>
          <w:sz w:val="24"/>
          <w:szCs w:val="24"/>
        </w:rPr>
        <w:t>Z racji częstych zmian na rynku BSP (nowe typy BSP, kolejne wersje danego typu BSP posiadające inne parametry techniczne) koniecznym będzie prowadzenie monitoringu rynku, wydobywania odpowiednich informacji</w:t>
      </w:r>
      <w:r w:rsidR="007A0F2D" w:rsidRPr="00C30D1A">
        <w:rPr>
          <w:rFonts w:ascii="Times New Roman" w:hAnsi="Times New Roman" w:cs="Times New Roman"/>
          <w:sz w:val="24"/>
          <w:szCs w:val="24"/>
        </w:rPr>
        <w:t xml:space="preserve"> od producentów</w:t>
      </w:r>
      <w:r w:rsidRPr="00C30D1A">
        <w:rPr>
          <w:rFonts w:ascii="Times New Roman" w:hAnsi="Times New Roman" w:cs="Times New Roman"/>
          <w:sz w:val="24"/>
          <w:szCs w:val="24"/>
        </w:rPr>
        <w:t>, wprowadzanie ich do bazy danych</w:t>
      </w:r>
      <w:r w:rsidR="00C30D1A" w:rsidRPr="00C30D1A">
        <w:rPr>
          <w:rFonts w:ascii="Times New Roman" w:hAnsi="Times New Roman" w:cs="Times New Roman"/>
          <w:sz w:val="24"/>
          <w:szCs w:val="24"/>
        </w:rPr>
        <w:t>,</w:t>
      </w:r>
      <w:r w:rsidRPr="00C30D1A">
        <w:rPr>
          <w:rFonts w:ascii="Times New Roman" w:hAnsi="Times New Roman" w:cs="Times New Roman"/>
          <w:sz w:val="24"/>
          <w:szCs w:val="24"/>
        </w:rPr>
        <w:t xml:space="preserve"> a następnie przeprowadzenie stosownych testów potwierdzających poprawność działania systemu, w tym odpowiednie przetwarzanie i wyświetlanie informacji w zakresie zmian dotyczących BSP.</w:t>
      </w:r>
    </w:p>
    <w:p w14:paraId="6FCBEB88" w14:textId="58364E3E" w:rsidR="007A0F2D" w:rsidRPr="00C30D1A" w:rsidRDefault="007A0F2D" w:rsidP="007A0F2D">
      <w:pPr>
        <w:jc w:val="both"/>
        <w:rPr>
          <w:rFonts w:ascii="Times New Roman" w:hAnsi="Times New Roman" w:cs="Times New Roman"/>
          <w:sz w:val="24"/>
          <w:szCs w:val="24"/>
        </w:rPr>
      </w:pPr>
      <w:r w:rsidRPr="00C30D1A">
        <w:rPr>
          <w:rFonts w:ascii="Times New Roman" w:hAnsi="Times New Roman" w:cs="Times New Roman"/>
          <w:sz w:val="24"/>
          <w:szCs w:val="24"/>
        </w:rPr>
        <w:t>Powyższe dane będą automatycznie wykorzystywane również w usłudze „Obsługa spraw związanych z nadawaniem uprawnień do wykonywania lotów BSP” oraz „e-learning”, w szczególności w procesie ULC wydawanie zezwolenia na lot w kategori</w:t>
      </w:r>
      <w:r w:rsidR="00885108">
        <w:rPr>
          <w:rFonts w:ascii="Times New Roman" w:hAnsi="Times New Roman" w:cs="Times New Roman"/>
          <w:sz w:val="24"/>
          <w:szCs w:val="24"/>
        </w:rPr>
        <w:t>i szczególnej i certyfikowanej.</w:t>
      </w:r>
    </w:p>
    <w:p w14:paraId="7627E4D8" w14:textId="49EC8A30" w:rsidR="00EA4969" w:rsidRPr="00C30D1A" w:rsidRDefault="00EA4969" w:rsidP="00880703">
      <w:pPr>
        <w:jc w:val="both"/>
        <w:rPr>
          <w:rFonts w:ascii="Times New Roman" w:hAnsi="Times New Roman" w:cs="Times New Roman"/>
          <w:sz w:val="24"/>
          <w:szCs w:val="24"/>
        </w:rPr>
      </w:pPr>
      <w:r w:rsidRPr="00C30D1A">
        <w:rPr>
          <w:rFonts w:ascii="Times New Roman" w:hAnsi="Times New Roman" w:cs="Times New Roman"/>
          <w:sz w:val="24"/>
          <w:szCs w:val="24"/>
        </w:rPr>
        <w:t>Działanie te będą realizowane przez personel merytoryczny projektu</w:t>
      </w:r>
      <w:r w:rsidR="007A0F2D" w:rsidRPr="00C30D1A">
        <w:rPr>
          <w:rFonts w:ascii="Times New Roman" w:hAnsi="Times New Roman" w:cs="Times New Roman"/>
          <w:sz w:val="24"/>
          <w:szCs w:val="24"/>
        </w:rPr>
        <w:t xml:space="preserve"> oraz przez zespół IT</w:t>
      </w:r>
      <w:r w:rsidR="00885108">
        <w:rPr>
          <w:rFonts w:ascii="Times New Roman" w:hAnsi="Times New Roman" w:cs="Times New Roman"/>
          <w:sz w:val="24"/>
          <w:szCs w:val="24"/>
        </w:rPr>
        <w:t>.</w:t>
      </w:r>
    </w:p>
    <w:p w14:paraId="043F969E" w14:textId="3AEBE7BF" w:rsidR="00252757" w:rsidRPr="00C30D1A" w:rsidRDefault="00252757" w:rsidP="00C30D1A">
      <w:pPr>
        <w:pStyle w:val="Akapitzlist"/>
        <w:numPr>
          <w:ilvl w:val="0"/>
          <w:numId w:val="16"/>
        </w:numPr>
        <w:jc w:val="both"/>
        <w:rPr>
          <w:rFonts w:ascii="Times New Roman" w:hAnsi="Times New Roman" w:cs="Times New Roman"/>
          <w:sz w:val="24"/>
          <w:szCs w:val="24"/>
          <w:u w:val="single"/>
        </w:rPr>
      </w:pPr>
      <w:r w:rsidRPr="00C30D1A">
        <w:rPr>
          <w:rFonts w:ascii="Times New Roman" w:hAnsi="Times New Roman" w:cs="Times New Roman"/>
          <w:sz w:val="24"/>
          <w:szCs w:val="24"/>
          <w:u w:val="single"/>
        </w:rPr>
        <w:t xml:space="preserve">Aktualizacja bazy danych </w:t>
      </w:r>
      <w:proofErr w:type="spellStart"/>
      <w:r w:rsidRPr="00C30D1A">
        <w:rPr>
          <w:rFonts w:ascii="Times New Roman" w:hAnsi="Times New Roman" w:cs="Times New Roman"/>
          <w:sz w:val="24"/>
          <w:szCs w:val="24"/>
          <w:u w:val="single"/>
        </w:rPr>
        <w:t>trackerów</w:t>
      </w:r>
      <w:proofErr w:type="spellEnd"/>
      <w:r w:rsidRPr="00C30D1A">
        <w:rPr>
          <w:rFonts w:ascii="Times New Roman" w:hAnsi="Times New Roman" w:cs="Times New Roman"/>
          <w:sz w:val="24"/>
          <w:szCs w:val="24"/>
          <w:u w:val="single"/>
        </w:rPr>
        <w:t xml:space="preserve"> </w:t>
      </w:r>
      <w:r w:rsidR="00532A5D" w:rsidRPr="00C30D1A">
        <w:rPr>
          <w:rFonts w:ascii="Times New Roman" w:hAnsi="Times New Roman" w:cs="Times New Roman"/>
          <w:sz w:val="24"/>
          <w:szCs w:val="24"/>
          <w:u w:val="single"/>
        </w:rPr>
        <w:t xml:space="preserve">i dopuszczania </w:t>
      </w:r>
      <w:proofErr w:type="spellStart"/>
      <w:r w:rsidR="00532A5D" w:rsidRPr="00C30D1A">
        <w:rPr>
          <w:rFonts w:ascii="Times New Roman" w:hAnsi="Times New Roman" w:cs="Times New Roman"/>
          <w:sz w:val="24"/>
          <w:szCs w:val="24"/>
          <w:u w:val="single"/>
        </w:rPr>
        <w:t>trackerów</w:t>
      </w:r>
      <w:proofErr w:type="spellEnd"/>
      <w:r w:rsidR="00532A5D" w:rsidRPr="00C30D1A">
        <w:rPr>
          <w:rFonts w:ascii="Times New Roman" w:hAnsi="Times New Roman" w:cs="Times New Roman"/>
          <w:sz w:val="24"/>
          <w:szCs w:val="24"/>
          <w:u w:val="single"/>
        </w:rPr>
        <w:t xml:space="preserve"> do możliwości stosowania w obszarach objętych działaniem usługi</w:t>
      </w:r>
      <w:r w:rsidRPr="00C30D1A">
        <w:rPr>
          <w:rFonts w:ascii="Times New Roman" w:hAnsi="Times New Roman" w:cs="Times New Roman"/>
          <w:sz w:val="24"/>
          <w:szCs w:val="24"/>
          <w:u w:val="single"/>
        </w:rPr>
        <w:t xml:space="preserve"> (DTM Autonomia - „Zaawansowane loty BSP na szeroką skalę”)</w:t>
      </w:r>
    </w:p>
    <w:p w14:paraId="392596DE" w14:textId="449E0438" w:rsidR="00252757" w:rsidRPr="00C30D1A" w:rsidRDefault="00252757" w:rsidP="00880703">
      <w:pPr>
        <w:jc w:val="both"/>
        <w:rPr>
          <w:rFonts w:ascii="Times New Roman" w:hAnsi="Times New Roman" w:cs="Times New Roman"/>
          <w:sz w:val="24"/>
          <w:szCs w:val="24"/>
        </w:rPr>
      </w:pPr>
      <w:proofErr w:type="spellStart"/>
      <w:r w:rsidRPr="00C30D1A">
        <w:rPr>
          <w:rFonts w:ascii="Times New Roman" w:hAnsi="Times New Roman" w:cs="Times New Roman"/>
          <w:sz w:val="24"/>
          <w:szCs w:val="24"/>
        </w:rPr>
        <w:t>Tracking</w:t>
      </w:r>
      <w:proofErr w:type="spellEnd"/>
      <w:r w:rsidRPr="00C30D1A">
        <w:rPr>
          <w:rFonts w:ascii="Times New Roman" w:hAnsi="Times New Roman" w:cs="Times New Roman"/>
          <w:sz w:val="24"/>
          <w:szCs w:val="24"/>
        </w:rPr>
        <w:t xml:space="preserve"> BSP jest kluczowym komponentem poziomu taktycznego usługi „Zaawansowane loty BSP na szeroką skalę” i pełni fundamentalną rolę w procesie zapewniania bezpieczeństwa ruchu lotniczego. Określanie pozycji BSP jest bardzo złożonym procesem</w:t>
      </w:r>
      <w:r w:rsidR="00532A5D" w:rsidRPr="00C30D1A">
        <w:rPr>
          <w:rFonts w:ascii="Times New Roman" w:hAnsi="Times New Roman" w:cs="Times New Roman"/>
          <w:sz w:val="24"/>
          <w:szCs w:val="24"/>
        </w:rPr>
        <w:t xml:space="preserve"> -</w:t>
      </w:r>
      <w:r w:rsidRPr="00C30D1A">
        <w:rPr>
          <w:rFonts w:ascii="Times New Roman" w:hAnsi="Times New Roman" w:cs="Times New Roman"/>
          <w:sz w:val="24"/>
          <w:szCs w:val="24"/>
        </w:rPr>
        <w:t xml:space="preserve"> różni dostawcy urządzeń </w:t>
      </w:r>
      <w:proofErr w:type="spellStart"/>
      <w:r w:rsidRPr="00C30D1A">
        <w:rPr>
          <w:rFonts w:ascii="Times New Roman" w:hAnsi="Times New Roman" w:cs="Times New Roman"/>
          <w:sz w:val="24"/>
          <w:szCs w:val="24"/>
        </w:rPr>
        <w:t>trackingowych</w:t>
      </w:r>
      <w:proofErr w:type="spellEnd"/>
      <w:r w:rsidRPr="00C30D1A">
        <w:rPr>
          <w:rFonts w:ascii="Times New Roman" w:hAnsi="Times New Roman" w:cs="Times New Roman"/>
          <w:sz w:val="24"/>
          <w:szCs w:val="24"/>
        </w:rPr>
        <w:t xml:space="preserve"> stosują różne met</w:t>
      </w:r>
      <w:r w:rsidR="00532A5D" w:rsidRPr="00C30D1A">
        <w:rPr>
          <w:rFonts w:ascii="Times New Roman" w:hAnsi="Times New Roman" w:cs="Times New Roman"/>
          <w:sz w:val="24"/>
          <w:szCs w:val="24"/>
        </w:rPr>
        <w:t>o</w:t>
      </w:r>
      <w:r w:rsidRPr="00C30D1A">
        <w:rPr>
          <w:rFonts w:ascii="Times New Roman" w:hAnsi="Times New Roman" w:cs="Times New Roman"/>
          <w:sz w:val="24"/>
          <w:szCs w:val="24"/>
        </w:rPr>
        <w:t xml:space="preserve">dy określania położenia BSP. Serwis </w:t>
      </w:r>
      <w:proofErr w:type="spellStart"/>
      <w:r w:rsidRPr="00C30D1A">
        <w:rPr>
          <w:rFonts w:ascii="Times New Roman" w:hAnsi="Times New Roman" w:cs="Times New Roman"/>
          <w:sz w:val="24"/>
          <w:szCs w:val="24"/>
        </w:rPr>
        <w:t>trackingowy</w:t>
      </w:r>
      <w:proofErr w:type="spellEnd"/>
      <w:r w:rsidRPr="00C30D1A">
        <w:rPr>
          <w:rFonts w:ascii="Times New Roman" w:hAnsi="Times New Roman" w:cs="Times New Roman"/>
          <w:sz w:val="24"/>
          <w:szCs w:val="24"/>
        </w:rPr>
        <w:t xml:space="preserve"> musi wiedzieć, jakiego rodzaju urządzenie jest dostawcą </w:t>
      </w:r>
      <w:r w:rsidR="00532A5D" w:rsidRPr="00C30D1A">
        <w:rPr>
          <w:rFonts w:ascii="Times New Roman" w:hAnsi="Times New Roman" w:cs="Times New Roman"/>
          <w:sz w:val="24"/>
          <w:szCs w:val="24"/>
        </w:rPr>
        <w:t xml:space="preserve">danych </w:t>
      </w:r>
      <w:proofErr w:type="spellStart"/>
      <w:r w:rsidR="00532A5D" w:rsidRPr="00C30D1A">
        <w:rPr>
          <w:rFonts w:ascii="Times New Roman" w:hAnsi="Times New Roman" w:cs="Times New Roman"/>
          <w:sz w:val="24"/>
          <w:szCs w:val="24"/>
        </w:rPr>
        <w:t>trackingowych</w:t>
      </w:r>
      <w:proofErr w:type="spellEnd"/>
      <w:r w:rsidR="00532A5D" w:rsidRPr="00C30D1A">
        <w:rPr>
          <w:rFonts w:ascii="Times New Roman" w:hAnsi="Times New Roman" w:cs="Times New Roman"/>
          <w:sz w:val="24"/>
          <w:szCs w:val="24"/>
        </w:rPr>
        <w:t xml:space="preserve"> i jakie parametry uwzględnia w określaniu położenia BSP, w tym według jakich standardów dostarcza wskazania dotyczące wysokości BSP. Aby serwis </w:t>
      </w:r>
      <w:proofErr w:type="spellStart"/>
      <w:r w:rsidR="00532A5D" w:rsidRPr="00C30D1A">
        <w:rPr>
          <w:rFonts w:ascii="Times New Roman" w:hAnsi="Times New Roman" w:cs="Times New Roman"/>
          <w:sz w:val="24"/>
          <w:szCs w:val="24"/>
        </w:rPr>
        <w:t>trackingowy</w:t>
      </w:r>
      <w:proofErr w:type="spellEnd"/>
      <w:r w:rsidR="00532A5D" w:rsidRPr="00C30D1A">
        <w:rPr>
          <w:rFonts w:ascii="Times New Roman" w:hAnsi="Times New Roman" w:cs="Times New Roman"/>
          <w:sz w:val="24"/>
          <w:szCs w:val="24"/>
        </w:rPr>
        <w:t xml:space="preserve"> procedował poprawnie otrzymywane dane, musi być połączony m.in z aktualną bazą danych </w:t>
      </w:r>
      <w:proofErr w:type="spellStart"/>
      <w:r w:rsidR="00532A5D" w:rsidRPr="00C30D1A">
        <w:rPr>
          <w:rFonts w:ascii="Times New Roman" w:hAnsi="Times New Roman" w:cs="Times New Roman"/>
          <w:sz w:val="24"/>
          <w:szCs w:val="24"/>
        </w:rPr>
        <w:t>trackerów</w:t>
      </w:r>
      <w:proofErr w:type="spellEnd"/>
      <w:r w:rsidR="00532A5D" w:rsidRPr="00C30D1A">
        <w:rPr>
          <w:rFonts w:ascii="Times New Roman" w:hAnsi="Times New Roman" w:cs="Times New Roman"/>
          <w:sz w:val="24"/>
          <w:szCs w:val="24"/>
        </w:rPr>
        <w:t xml:space="preserve">. Użytkownicy będą mogli stosować wyłącznie te typy urządzeń </w:t>
      </w:r>
      <w:proofErr w:type="spellStart"/>
      <w:r w:rsidR="00532A5D" w:rsidRPr="00C30D1A">
        <w:rPr>
          <w:rFonts w:ascii="Times New Roman" w:hAnsi="Times New Roman" w:cs="Times New Roman"/>
          <w:sz w:val="24"/>
          <w:szCs w:val="24"/>
        </w:rPr>
        <w:t>trackingowych</w:t>
      </w:r>
      <w:proofErr w:type="spellEnd"/>
      <w:r w:rsidR="00532A5D" w:rsidRPr="00C30D1A">
        <w:rPr>
          <w:rFonts w:ascii="Times New Roman" w:hAnsi="Times New Roman" w:cs="Times New Roman"/>
          <w:sz w:val="24"/>
          <w:szCs w:val="24"/>
        </w:rPr>
        <w:t xml:space="preserve">, które przejdą odpowiednie testy poligonowe (obsługiwane przez PAŻP) i których parametry działania zostały zapisane w bazie danych. Każdy nowy podmiot dostarczający urządzenia do </w:t>
      </w:r>
      <w:proofErr w:type="spellStart"/>
      <w:r w:rsidR="00532A5D" w:rsidRPr="00C30D1A">
        <w:rPr>
          <w:rFonts w:ascii="Times New Roman" w:hAnsi="Times New Roman" w:cs="Times New Roman"/>
          <w:sz w:val="24"/>
          <w:szCs w:val="24"/>
        </w:rPr>
        <w:t>trackowania</w:t>
      </w:r>
      <w:proofErr w:type="spellEnd"/>
      <w:r w:rsidR="00532A5D" w:rsidRPr="00C30D1A">
        <w:rPr>
          <w:rFonts w:ascii="Times New Roman" w:hAnsi="Times New Roman" w:cs="Times New Roman"/>
          <w:sz w:val="24"/>
          <w:szCs w:val="24"/>
        </w:rPr>
        <w:t xml:space="preserve"> będzie podlegał procedurze weryfikacji działania, określania parametrów jego dokładności i działania oraz aktualizacji bazy danych. Będzie wiązało się z przeprowadzeniem zarówno testów wewnętrznych</w:t>
      </w:r>
      <w:r w:rsidR="00C30D1A">
        <w:rPr>
          <w:rFonts w:ascii="Times New Roman" w:hAnsi="Times New Roman" w:cs="Times New Roman"/>
          <w:sz w:val="24"/>
          <w:szCs w:val="24"/>
        </w:rPr>
        <w:t>,</w:t>
      </w:r>
      <w:r w:rsidR="00532A5D" w:rsidRPr="00C30D1A">
        <w:rPr>
          <w:rFonts w:ascii="Times New Roman" w:hAnsi="Times New Roman" w:cs="Times New Roman"/>
          <w:sz w:val="24"/>
          <w:szCs w:val="24"/>
        </w:rPr>
        <w:t xml:space="preserve"> jak i na poziomie taktycznym (</w:t>
      </w:r>
      <w:r w:rsidR="007A0F2D" w:rsidRPr="00C30D1A">
        <w:rPr>
          <w:rFonts w:ascii="Times New Roman" w:hAnsi="Times New Roman" w:cs="Times New Roman"/>
          <w:sz w:val="24"/>
          <w:szCs w:val="24"/>
        </w:rPr>
        <w:t xml:space="preserve">poligonowe </w:t>
      </w:r>
      <w:r w:rsidR="00532A5D" w:rsidRPr="00C30D1A">
        <w:rPr>
          <w:rFonts w:ascii="Times New Roman" w:hAnsi="Times New Roman" w:cs="Times New Roman"/>
          <w:sz w:val="24"/>
          <w:szCs w:val="24"/>
        </w:rPr>
        <w:t>loty BSP vs działanie systemu).</w:t>
      </w:r>
    </w:p>
    <w:p w14:paraId="5A693448" w14:textId="1EDB8EA2" w:rsidR="00532A5D" w:rsidRPr="00C30D1A" w:rsidRDefault="00532A5D" w:rsidP="00880703">
      <w:pPr>
        <w:jc w:val="both"/>
        <w:rPr>
          <w:rFonts w:ascii="Times New Roman" w:hAnsi="Times New Roman" w:cs="Times New Roman"/>
          <w:sz w:val="24"/>
          <w:szCs w:val="24"/>
        </w:rPr>
      </w:pPr>
      <w:r w:rsidRPr="00C30D1A">
        <w:rPr>
          <w:rFonts w:ascii="Times New Roman" w:hAnsi="Times New Roman" w:cs="Times New Roman"/>
          <w:sz w:val="24"/>
          <w:szCs w:val="24"/>
        </w:rPr>
        <w:t xml:space="preserve">Wdrożenie usługi „Zaawansowane loty BSP na szeroką skalę” będzie jasnym sygnałem dla rynku, że są już systemy obsługujące takie urządzenia </w:t>
      </w:r>
      <w:proofErr w:type="spellStart"/>
      <w:r w:rsidRPr="00C30D1A">
        <w:rPr>
          <w:rFonts w:ascii="Times New Roman" w:hAnsi="Times New Roman" w:cs="Times New Roman"/>
          <w:sz w:val="24"/>
          <w:szCs w:val="24"/>
        </w:rPr>
        <w:t>trackingowe</w:t>
      </w:r>
      <w:proofErr w:type="spellEnd"/>
      <w:r w:rsidRPr="00C30D1A">
        <w:rPr>
          <w:rFonts w:ascii="Times New Roman" w:hAnsi="Times New Roman" w:cs="Times New Roman"/>
          <w:sz w:val="24"/>
          <w:szCs w:val="24"/>
        </w:rPr>
        <w:t xml:space="preserve">, jest wymóg ich stosowania w wielu różnych rodzajach operacji, a tym samym będą zgłaszały się do PAŻP </w:t>
      </w:r>
      <w:r w:rsidR="007A0F2D" w:rsidRPr="00C30D1A">
        <w:rPr>
          <w:rFonts w:ascii="Times New Roman" w:hAnsi="Times New Roman" w:cs="Times New Roman"/>
          <w:sz w:val="24"/>
          <w:szCs w:val="24"/>
        </w:rPr>
        <w:t xml:space="preserve">nowe podmioty </w:t>
      </w:r>
      <w:r w:rsidRPr="00C30D1A">
        <w:rPr>
          <w:rFonts w:ascii="Times New Roman" w:hAnsi="Times New Roman" w:cs="Times New Roman"/>
          <w:sz w:val="24"/>
          <w:szCs w:val="24"/>
        </w:rPr>
        <w:t xml:space="preserve">celem dołączenia ich urządzeń do całego systemu </w:t>
      </w:r>
      <w:proofErr w:type="spellStart"/>
      <w:r w:rsidRPr="00C30D1A">
        <w:rPr>
          <w:rFonts w:ascii="Times New Roman" w:hAnsi="Times New Roman" w:cs="Times New Roman"/>
          <w:sz w:val="24"/>
          <w:szCs w:val="24"/>
        </w:rPr>
        <w:t>trackingowego</w:t>
      </w:r>
      <w:proofErr w:type="spellEnd"/>
      <w:r w:rsidRPr="00C30D1A">
        <w:rPr>
          <w:rFonts w:ascii="Times New Roman" w:hAnsi="Times New Roman" w:cs="Times New Roman"/>
          <w:sz w:val="24"/>
          <w:szCs w:val="24"/>
        </w:rPr>
        <w:t>. PAŻP będzie realizował w/w wszystkie działania związane z dopuszczaniem nowego urządzenia do stosowania w ramach systemu oraz z aktualizacją baz danych.</w:t>
      </w:r>
    </w:p>
    <w:p w14:paraId="4334676D" w14:textId="4C70AA19" w:rsidR="00EA4969" w:rsidRPr="00C30D1A" w:rsidRDefault="00EA4969" w:rsidP="00880703">
      <w:pPr>
        <w:jc w:val="both"/>
        <w:rPr>
          <w:rFonts w:ascii="Times New Roman" w:hAnsi="Times New Roman" w:cs="Times New Roman"/>
          <w:sz w:val="24"/>
          <w:szCs w:val="24"/>
        </w:rPr>
      </w:pPr>
      <w:r w:rsidRPr="00C30D1A">
        <w:rPr>
          <w:rFonts w:ascii="Times New Roman" w:hAnsi="Times New Roman" w:cs="Times New Roman"/>
          <w:sz w:val="24"/>
          <w:szCs w:val="24"/>
        </w:rPr>
        <w:t>Działanie te będą realizowane przez personel merytoryczny projektu oraz przez zespół IT</w:t>
      </w:r>
    </w:p>
    <w:p w14:paraId="0ADB1F2F" w14:textId="1347FA49" w:rsidR="00252757" w:rsidRPr="00C30D1A" w:rsidRDefault="00252757" w:rsidP="00880703">
      <w:pPr>
        <w:jc w:val="both"/>
        <w:rPr>
          <w:rFonts w:ascii="Times New Roman" w:hAnsi="Times New Roman" w:cs="Times New Roman"/>
          <w:sz w:val="24"/>
          <w:szCs w:val="24"/>
        </w:rPr>
      </w:pPr>
    </w:p>
    <w:p w14:paraId="7D861214" w14:textId="2CF5BBE8" w:rsidR="003C4CC5" w:rsidRPr="00C30D1A" w:rsidRDefault="003C4CC5" w:rsidP="00C30D1A">
      <w:pPr>
        <w:pStyle w:val="Akapitzlist"/>
        <w:numPr>
          <w:ilvl w:val="0"/>
          <w:numId w:val="16"/>
        </w:numPr>
        <w:jc w:val="both"/>
        <w:rPr>
          <w:rFonts w:ascii="Times New Roman" w:hAnsi="Times New Roman" w:cs="Times New Roman"/>
          <w:sz w:val="24"/>
          <w:szCs w:val="24"/>
          <w:u w:val="single"/>
        </w:rPr>
      </w:pPr>
      <w:r w:rsidRPr="00C30D1A">
        <w:rPr>
          <w:rFonts w:ascii="Times New Roman" w:hAnsi="Times New Roman" w:cs="Times New Roman"/>
          <w:sz w:val="24"/>
          <w:szCs w:val="24"/>
          <w:u w:val="single"/>
        </w:rPr>
        <w:t>Aktualizacja danych do procesu analizy ryzyka operacji SORA w zakresie zabudowy wsi oraz miast (e-SORA, pl</w:t>
      </w:r>
      <w:r w:rsidR="00885108">
        <w:rPr>
          <w:rFonts w:ascii="Times New Roman" w:hAnsi="Times New Roman" w:cs="Times New Roman"/>
          <w:sz w:val="24"/>
          <w:szCs w:val="24"/>
          <w:u w:val="single"/>
        </w:rPr>
        <w:t>anowanie misji w DTM Autonomia)</w:t>
      </w:r>
    </w:p>
    <w:p w14:paraId="1B7093A9" w14:textId="632B6257" w:rsidR="003C4CC5" w:rsidRPr="00C30D1A" w:rsidRDefault="003C4CC5" w:rsidP="00880703">
      <w:pPr>
        <w:jc w:val="both"/>
        <w:rPr>
          <w:rFonts w:ascii="Times New Roman" w:hAnsi="Times New Roman" w:cs="Times New Roman"/>
          <w:sz w:val="24"/>
          <w:szCs w:val="24"/>
        </w:rPr>
      </w:pPr>
      <w:r w:rsidRPr="00C30D1A">
        <w:rPr>
          <w:rFonts w:ascii="Times New Roman" w:hAnsi="Times New Roman" w:cs="Times New Roman"/>
          <w:sz w:val="24"/>
          <w:szCs w:val="24"/>
        </w:rPr>
        <w:t xml:space="preserve">Naturalne występowanie zmian w zabudowie (nowe domy, osiedla, fabryki, drogi etc.) powoduje konieczność częstego zbierania tego typu informacji, przetwarzania a następnie wytworzenia aktualnych cyfrowych baz danych zawierających mapy </w:t>
      </w:r>
      <w:proofErr w:type="spellStart"/>
      <w:r w:rsidRPr="00C30D1A">
        <w:rPr>
          <w:rFonts w:ascii="Times New Roman" w:hAnsi="Times New Roman" w:cs="Times New Roman"/>
          <w:sz w:val="24"/>
          <w:szCs w:val="24"/>
        </w:rPr>
        <w:t>gridów</w:t>
      </w:r>
      <w:proofErr w:type="spellEnd"/>
      <w:r w:rsidRPr="00C30D1A">
        <w:rPr>
          <w:rFonts w:ascii="Times New Roman" w:hAnsi="Times New Roman" w:cs="Times New Roman"/>
          <w:sz w:val="24"/>
          <w:szCs w:val="24"/>
        </w:rPr>
        <w:t xml:space="preserve">, </w:t>
      </w:r>
      <w:r w:rsidR="00A0686D" w:rsidRPr="00C30D1A">
        <w:rPr>
          <w:rFonts w:ascii="Times New Roman" w:hAnsi="Times New Roman" w:cs="Times New Roman"/>
          <w:sz w:val="24"/>
          <w:szCs w:val="24"/>
        </w:rPr>
        <w:t xml:space="preserve">zawierających </w:t>
      </w:r>
      <w:r w:rsidRPr="00C30D1A">
        <w:rPr>
          <w:rFonts w:ascii="Times New Roman" w:hAnsi="Times New Roman" w:cs="Times New Roman"/>
          <w:sz w:val="24"/>
          <w:szCs w:val="24"/>
        </w:rPr>
        <w:t>informacje o gęstości zaludnienia w danym obszarze, w tym które z nich klasyfikowane są jako obszar zaludniony.</w:t>
      </w:r>
      <w:r w:rsidR="007A0F2D" w:rsidRPr="00C30D1A">
        <w:rPr>
          <w:rFonts w:ascii="Times New Roman" w:hAnsi="Times New Roman" w:cs="Times New Roman"/>
          <w:sz w:val="24"/>
          <w:szCs w:val="24"/>
        </w:rPr>
        <w:t xml:space="preserve"> Ponadto koniecznym jest aktualizowanie poziomu zaludnienia poszczególnych obszarów, gdyż liczba mieszkańców na 1</w:t>
      </w:r>
      <w:r w:rsidR="00C30D1A">
        <w:rPr>
          <w:rFonts w:ascii="Times New Roman" w:hAnsi="Times New Roman" w:cs="Times New Roman"/>
          <w:sz w:val="24"/>
          <w:szCs w:val="24"/>
        </w:rPr>
        <w:t> </w:t>
      </w:r>
      <w:r w:rsidR="007A0F2D" w:rsidRPr="00C30D1A">
        <w:rPr>
          <w:rFonts w:ascii="Times New Roman" w:hAnsi="Times New Roman" w:cs="Times New Roman"/>
          <w:sz w:val="24"/>
          <w:szCs w:val="24"/>
        </w:rPr>
        <w:t>km</w:t>
      </w:r>
      <w:r w:rsidR="007A0F2D" w:rsidRPr="00C30D1A">
        <w:rPr>
          <w:rFonts w:ascii="Times New Roman" w:hAnsi="Times New Roman" w:cs="Times New Roman"/>
          <w:sz w:val="24"/>
          <w:szCs w:val="24"/>
          <w:vertAlign w:val="superscript"/>
        </w:rPr>
        <w:t>2</w:t>
      </w:r>
      <w:r w:rsidR="007A0F2D" w:rsidRPr="00C30D1A">
        <w:rPr>
          <w:rFonts w:ascii="Times New Roman" w:hAnsi="Times New Roman" w:cs="Times New Roman"/>
          <w:sz w:val="24"/>
          <w:szCs w:val="24"/>
        </w:rPr>
        <w:t xml:space="preserve"> jest jednym z parametrów stosowanych do oceny ryzyka operacji.</w:t>
      </w:r>
      <w:r w:rsidRPr="00C30D1A">
        <w:rPr>
          <w:rFonts w:ascii="Times New Roman" w:hAnsi="Times New Roman" w:cs="Times New Roman"/>
          <w:sz w:val="24"/>
          <w:szCs w:val="24"/>
        </w:rPr>
        <w:t xml:space="preserve"> Informacje te są kluczowe dla wyników procesu analizy ryzyka naziemnego, która jest jednym z najistotniejszych zagadnień wpływających na końcową ocenę poziomu zagrożenia danej misji BSP. Tym samym</w:t>
      </w:r>
      <w:r w:rsidR="00A0686D" w:rsidRPr="00C30D1A">
        <w:rPr>
          <w:rFonts w:ascii="Times New Roman" w:hAnsi="Times New Roman" w:cs="Times New Roman"/>
          <w:sz w:val="24"/>
          <w:szCs w:val="24"/>
        </w:rPr>
        <w:t xml:space="preserve"> to</w:t>
      </w:r>
      <w:r w:rsidRPr="00C30D1A">
        <w:rPr>
          <w:rFonts w:ascii="Times New Roman" w:hAnsi="Times New Roman" w:cs="Times New Roman"/>
          <w:sz w:val="24"/>
          <w:szCs w:val="24"/>
        </w:rPr>
        <w:t xml:space="preserve">, czy dana operacja może się odbyć czy też nie, wynika między innymi z analizy ryzyka naziemnego. Informacje te muszą być rzetelne w kontekście automatycznej weryfikacji przez system, czy dana misja spełnia nałożone w zezwoleniu </w:t>
      </w:r>
      <w:r w:rsidR="00C30D1A">
        <w:rPr>
          <w:rFonts w:ascii="Times New Roman" w:hAnsi="Times New Roman" w:cs="Times New Roman"/>
          <w:sz w:val="24"/>
          <w:szCs w:val="24"/>
        </w:rPr>
        <w:t xml:space="preserve">Prezesa </w:t>
      </w:r>
      <w:r w:rsidRPr="00C30D1A">
        <w:rPr>
          <w:rFonts w:ascii="Times New Roman" w:hAnsi="Times New Roman" w:cs="Times New Roman"/>
          <w:sz w:val="24"/>
          <w:szCs w:val="24"/>
        </w:rPr>
        <w:t>ULC na lot w kategorii szczególnej wymogi bezpieczeństwa w zakresie ryzyka naziemnego. Nieposiadanie przez usługę e-SORA aktualnych informacji dla procesu analizy ryzyka będzie powodowało wytwarzanie nieprawdziwych ocen ryzyka naziemnego, co będzie zwiększało poziom zagro</w:t>
      </w:r>
      <w:r w:rsidR="00885108">
        <w:rPr>
          <w:rFonts w:ascii="Times New Roman" w:hAnsi="Times New Roman" w:cs="Times New Roman"/>
          <w:sz w:val="24"/>
          <w:szCs w:val="24"/>
        </w:rPr>
        <w:t>żenia bezpieczeństwa obywateli.</w:t>
      </w:r>
    </w:p>
    <w:p w14:paraId="51EDE5B9" w14:textId="64CA81AE" w:rsidR="00EA4969" w:rsidRPr="00C30D1A" w:rsidRDefault="00EA4969" w:rsidP="00880703">
      <w:pPr>
        <w:jc w:val="both"/>
        <w:rPr>
          <w:rFonts w:ascii="Times New Roman" w:hAnsi="Times New Roman" w:cs="Times New Roman"/>
          <w:sz w:val="24"/>
          <w:szCs w:val="24"/>
        </w:rPr>
      </w:pPr>
      <w:r w:rsidRPr="00C30D1A">
        <w:rPr>
          <w:rFonts w:ascii="Times New Roman" w:hAnsi="Times New Roman" w:cs="Times New Roman"/>
          <w:sz w:val="24"/>
          <w:szCs w:val="24"/>
        </w:rPr>
        <w:t>Działanie te będą realizowane przez personel merytoryczny projektu oraz przez zespół IT</w:t>
      </w:r>
      <w:r w:rsidR="00C30D1A">
        <w:rPr>
          <w:rFonts w:ascii="Times New Roman" w:hAnsi="Times New Roman" w:cs="Times New Roman"/>
          <w:sz w:val="24"/>
          <w:szCs w:val="24"/>
        </w:rPr>
        <w:t>.</w:t>
      </w:r>
    </w:p>
    <w:p w14:paraId="48DD80C1" w14:textId="2B8A358C" w:rsidR="003C4CC5" w:rsidRPr="00C30D1A" w:rsidRDefault="00FD0771" w:rsidP="00C30D1A">
      <w:pPr>
        <w:pStyle w:val="Akapitzlist"/>
        <w:numPr>
          <w:ilvl w:val="0"/>
          <w:numId w:val="16"/>
        </w:numPr>
        <w:jc w:val="both"/>
        <w:rPr>
          <w:rFonts w:ascii="Times New Roman" w:hAnsi="Times New Roman" w:cs="Times New Roman"/>
          <w:sz w:val="24"/>
          <w:szCs w:val="24"/>
          <w:u w:val="single"/>
        </w:rPr>
      </w:pPr>
      <w:r w:rsidRPr="00C30D1A">
        <w:rPr>
          <w:rFonts w:ascii="Times New Roman" w:hAnsi="Times New Roman" w:cs="Times New Roman"/>
          <w:sz w:val="24"/>
          <w:szCs w:val="24"/>
          <w:u w:val="single"/>
        </w:rPr>
        <w:t>„Obsługa spraw związanych z nadawaniem uprawnień do wykonywania lotów BSP” oraz „e-learning” (</w:t>
      </w:r>
      <w:r w:rsidR="00B57AC1" w:rsidRPr="00C30D1A">
        <w:rPr>
          <w:rFonts w:ascii="Times New Roman" w:hAnsi="Times New Roman" w:cs="Times New Roman"/>
          <w:sz w:val="24"/>
          <w:szCs w:val="24"/>
          <w:u w:val="single"/>
        </w:rPr>
        <w:t>e-Rejestracja, e-Licencja, e-Certyfikacja, e-Learning</w:t>
      </w:r>
      <w:r w:rsidR="00C3312F" w:rsidRPr="00C30D1A">
        <w:rPr>
          <w:rFonts w:ascii="Times New Roman" w:hAnsi="Times New Roman" w:cs="Times New Roman"/>
          <w:sz w:val="24"/>
          <w:szCs w:val="24"/>
          <w:u w:val="single"/>
        </w:rPr>
        <w:t>)</w:t>
      </w:r>
      <w:r w:rsidR="00B57AC1" w:rsidRPr="00C30D1A">
        <w:rPr>
          <w:rFonts w:ascii="Times New Roman" w:hAnsi="Times New Roman" w:cs="Times New Roman"/>
          <w:sz w:val="24"/>
          <w:szCs w:val="24"/>
          <w:u w:val="single"/>
        </w:rPr>
        <w:t xml:space="preserve"> </w:t>
      </w:r>
      <w:r w:rsidR="003C4CC5" w:rsidRPr="00C30D1A">
        <w:rPr>
          <w:rFonts w:ascii="Times New Roman" w:hAnsi="Times New Roman" w:cs="Times New Roman"/>
          <w:sz w:val="24"/>
          <w:szCs w:val="24"/>
          <w:u w:val="single"/>
        </w:rPr>
        <w:t xml:space="preserve">– utrzymanie wysokiej automatyzacji procesów ULC niezbędne dla utrzymania efektywności kosztowej </w:t>
      </w:r>
      <w:r w:rsidR="00C30D1A">
        <w:rPr>
          <w:rFonts w:ascii="Times New Roman" w:hAnsi="Times New Roman" w:cs="Times New Roman"/>
          <w:sz w:val="24"/>
          <w:szCs w:val="24"/>
          <w:u w:val="single"/>
        </w:rPr>
        <w:t>ULC</w:t>
      </w:r>
    </w:p>
    <w:p w14:paraId="3BC47D14" w14:textId="3568AB60" w:rsidR="00BC03A1" w:rsidRPr="00C30D1A" w:rsidRDefault="003C4CC5" w:rsidP="00880703">
      <w:pPr>
        <w:jc w:val="both"/>
        <w:rPr>
          <w:rFonts w:ascii="Times New Roman" w:hAnsi="Times New Roman" w:cs="Times New Roman"/>
          <w:sz w:val="24"/>
          <w:szCs w:val="24"/>
        </w:rPr>
      </w:pPr>
      <w:r w:rsidRPr="00C30D1A">
        <w:rPr>
          <w:rFonts w:ascii="Times New Roman" w:hAnsi="Times New Roman" w:cs="Times New Roman"/>
          <w:sz w:val="24"/>
          <w:szCs w:val="24"/>
        </w:rPr>
        <w:t xml:space="preserve">Przyjmuje się, </w:t>
      </w:r>
      <w:r w:rsidR="00C3312F" w:rsidRPr="00C30D1A">
        <w:rPr>
          <w:rFonts w:ascii="Times New Roman" w:hAnsi="Times New Roman" w:cs="Times New Roman"/>
          <w:sz w:val="24"/>
          <w:szCs w:val="24"/>
        </w:rPr>
        <w:t>iż</w:t>
      </w:r>
      <w:r w:rsidRPr="00C30D1A">
        <w:rPr>
          <w:rFonts w:ascii="Times New Roman" w:hAnsi="Times New Roman" w:cs="Times New Roman"/>
          <w:sz w:val="24"/>
          <w:szCs w:val="24"/>
        </w:rPr>
        <w:t xml:space="preserve"> wdrożenie usługi „Zaawansowane loty BSP na szeroką skalę” spowoduje, że rynek będzie mógł w końcu rozpocząć realizowanie na masową skalę zupełnie nowych rodzajów lotów BSP – wielokilometrowych, poza zasięgiem wzroku Operatora</w:t>
      </w:r>
      <w:r w:rsidR="00A0686D" w:rsidRPr="00C30D1A">
        <w:rPr>
          <w:rFonts w:ascii="Times New Roman" w:hAnsi="Times New Roman" w:cs="Times New Roman"/>
          <w:sz w:val="24"/>
          <w:szCs w:val="24"/>
        </w:rPr>
        <w:t xml:space="preserve"> (BVLOS)</w:t>
      </w:r>
      <w:r w:rsidRPr="00C30D1A">
        <w:rPr>
          <w:rFonts w:ascii="Times New Roman" w:hAnsi="Times New Roman" w:cs="Times New Roman"/>
          <w:sz w:val="24"/>
          <w:szCs w:val="24"/>
        </w:rPr>
        <w:t xml:space="preserve"> w trybie automatycznym (dziś takie loty są realizowane pojedynczo</w:t>
      </w:r>
      <w:r w:rsidR="007A0F2D" w:rsidRPr="00C30D1A">
        <w:rPr>
          <w:rFonts w:ascii="Times New Roman" w:hAnsi="Times New Roman" w:cs="Times New Roman"/>
          <w:sz w:val="24"/>
          <w:szCs w:val="24"/>
        </w:rPr>
        <w:t>, na niewielką skalę, ze względu na brak systemu zarządzającego tego typu lotami</w:t>
      </w:r>
      <w:r w:rsidRPr="00C30D1A">
        <w:rPr>
          <w:rFonts w:ascii="Times New Roman" w:hAnsi="Times New Roman" w:cs="Times New Roman"/>
          <w:sz w:val="24"/>
          <w:szCs w:val="24"/>
        </w:rPr>
        <w:t xml:space="preserve">). Spowoduje to znaczący wzrost napływu </w:t>
      </w:r>
      <w:r w:rsidR="00C3312F" w:rsidRPr="00C30D1A">
        <w:rPr>
          <w:rFonts w:ascii="Times New Roman" w:hAnsi="Times New Roman" w:cs="Times New Roman"/>
          <w:sz w:val="24"/>
          <w:szCs w:val="24"/>
        </w:rPr>
        <w:t xml:space="preserve">do </w:t>
      </w:r>
      <w:r w:rsidR="00C30D1A">
        <w:rPr>
          <w:rFonts w:ascii="Times New Roman" w:hAnsi="Times New Roman" w:cs="Times New Roman"/>
          <w:sz w:val="24"/>
          <w:szCs w:val="24"/>
        </w:rPr>
        <w:t xml:space="preserve">Prezesa </w:t>
      </w:r>
      <w:r w:rsidR="00C3312F" w:rsidRPr="00C30D1A">
        <w:rPr>
          <w:rFonts w:ascii="Times New Roman" w:hAnsi="Times New Roman" w:cs="Times New Roman"/>
          <w:sz w:val="24"/>
          <w:szCs w:val="24"/>
        </w:rPr>
        <w:t xml:space="preserve">ULC </w:t>
      </w:r>
      <w:r w:rsidRPr="00C30D1A">
        <w:rPr>
          <w:rFonts w:ascii="Times New Roman" w:hAnsi="Times New Roman" w:cs="Times New Roman"/>
          <w:sz w:val="24"/>
          <w:szCs w:val="24"/>
        </w:rPr>
        <w:t xml:space="preserve">Wniosków o zezwolenie na lot w kategorii szczególnej i certyfikowanej (szacunkowo zdecydowanie ponad 1000% w stosunku do stanu obecnego). Tylko utrzymanie wysokiego poziomu automatyzacji procesu (z uwzględnieniem bieżącej aktualizacji usług do wymogów prawnych) </w:t>
      </w:r>
      <w:r w:rsidR="00A0686D" w:rsidRPr="00C30D1A">
        <w:rPr>
          <w:rFonts w:ascii="Times New Roman" w:hAnsi="Times New Roman" w:cs="Times New Roman"/>
          <w:sz w:val="24"/>
          <w:szCs w:val="24"/>
        </w:rPr>
        <w:t>znacznie zredukuje skalę potrzeb</w:t>
      </w:r>
      <w:r w:rsidR="00C3312F" w:rsidRPr="00C30D1A">
        <w:rPr>
          <w:rFonts w:ascii="Times New Roman" w:hAnsi="Times New Roman" w:cs="Times New Roman"/>
          <w:sz w:val="24"/>
          <w:szCs w:val="24"/>
        </w:rPr>
        <w:t>y</w:t>
      </w:r>
      <w:r w:rsidR="00A0686D" w:rsidRPr="00C30D1A">
        <w:rPr>
          <w:rFonts w:ascii="Times New Roman" w:hAnsi="Times New Roman" w:cs="Times New Roman"/>
          <w:sz w:val="24"/>
          <w:szCs w:val="24"/>
        </w:rPr>
        <w:t xml:space="preserve"> </w:t>
      </w:r>
      <w:r w:rsidR="00C30D1A">
        <w:rPr>
          <w:rFonts w:ascii="Times New Roman" w:hAnsi="Times New Roman" w:cs="Times New Roman"/>
          <w:sz w:val="24"/>
          <w:szCs w:val="24"/>
        </w:rPr>
        <w:t>ULC</w:t>
      </w:r>
      <w:r w:rsidR="00A0686D" w:rsidRPr="00C30D1A">
        <w:rPr>
          <w:rFonts w:ascii="Times New Roman" w:hAnsi="Times New Roman" w:cs="Times New Roman"/>
          <w:sz w:val="24"/>
          <w:szCs w:val="24"/>
        </w:rPr>
        <w:t xml:space="preserve"> w zakresie </w:t>
      </w:r>
      <w:r w:rsidRPr="00C30D1A">
        <w:rPr>
          <w:rFonts w:ascii="Times New Roman" w:hAnsi="Times New Roman" w:cs="Times New Roman"/>
          <w:sz w:val="24"/>
          <w:szCs w:val="24"/>
        </w:rPr>
        <w:t>zwiększenia poziomu zatrudnienia pracowników ULC do obsługi procesu</w:t>
      </w:r>
      <w:r w:rsidR="00A0686D" w:rsidRPr="00C30D1A">
        <w:rPr>
          <w:rFonts w:ascii="Times New Roman" w:hAnsi="Times New Roman" w:cs="Times New Roman"/>
          <w:sz w:val="24"/>
          <w:szCs w:val="24"/>
        </w:rPr>
        <w:t xml:space="preserve"> </w:t>
      </w:r>
      <w:bookmarkStart w:id="2" w:name="_Hlk105995417"/>
      <w:r w:rsidR="00A0686D" w:rsidRPr="00C30D1A">
        <w:rPr>
          <w:rFonts w:ascii="Times New Roman" w:hAnsi="Times New Roman" w:cs="Times New Roman"/>
          <w:sz w:val="24"/>
          <w:szCs w:val="24"/>
        </w:rPr>
        <w:t>wydawania zezwoleń na loty w kategorii szczególnej</w:t>
      </w:r>
      <w:bookmarkEnd w:id="2"/>
      <w:r w:rsidR="00A0686D" w:rsidRPr="00C30D1A">
        <w:rPr>
          <w:rFonts w:ascii="Times New Roman" w:hAnsi="Times New Roman" w:cs="Times New Roman"/>
          <w:sz w:val="24"/>
          <w:szCs w:val="24"/>
        </w:rPr>
        <w:t>.</w:t>
      </w:r>
      <w:r w:rsidRPr="00C30D1A">
        <w:rPr>
          <w:rFonts w:ascii="Times New Roman" w:hAnsi="Times New Roman" w:cs="Times New Roman"/>
          <w:sz w:val="24"/>
          <w:szCs w:val="24"/>
        </w:rPr>
        <w:t xml:space="preserve"> Ponadto dostarczanie obywatelom i rynkowi usługi o wysokim poziomie automatyzacji spowoduje realizację ich podstawowych potrzeb w zakresie rynku </w:t>
      </w:r>
      <w:proofErr w:type="spellStart"/>
      <w:r w:rsidRPr="00C30D1A">
        <w:rPr>
          <w:rFonts w:ascii="Times New Roman" w:hAnsi="Times New Roman" w:cs="Times New Roman"/>
          <w:sz w:val="24"/>
          <w:szCs w:val="24"/>
        </w:rPr>
        <w:t>dronowego</w:t>
      </w:r>
      <w:proofErr w:type="spellEnd"/>
      <w:r w:rsidRPr="00C30D1A">
        <w:rPr>
          <w:rFonts w:ascii="Times New Roman" w:hAnsi="Times New Roman" w:cs="Times New Roman"/>
          <w:sz w:val="24"/>
          <w:szCs w:val="24"/>
        </w:rPr>
        <w:t xml:space="preserve"> –</w:t>
      </w:r>
      <w:r w:rsidR="00C30D1A">
        <w:rPr>
          <w:rFonts w:ascii="Times New Roman" w:hAnsi="Times New Roman" w:cs="Times New Roman"/>
          <w:sz w:val="24"/>
          <w:szCs w:val="24"/>
        </w:rPr>
        <w:t xml:space="preserve"> </w:t>
      </w:r>
      <w:r w:rsidRPr="00C30D1A">
        <w:rPr>
          <w:rFonts w:ascii="Times New Roman" w:hAnsi="Times New Roman" w:cs="Times New Roman"/>
          <w:sz w:val="24"/>
          <w:szCs w:val="24"/>
        </w:rPr>
        <w:t xml:space="preserve">dynamicznej obsługi procesów </w:t>
      </w:r>
      <w:proofErr w:type="spellStart"/>
      <w:r w:rsidRPr="00C30D1A">
        <w:rPr>
          <w:rFonts w:ascii="Times New Roman" w:hAnsi="Times New Roman" w:cs="Times New Roman"/>
          <w:sz w:val="24"/>
          <w:szCs w:val="24"/>
        </w:rPr>
        <w:t>dronowych</w:t>
      </w:r>
      <w:proofErr w:type="spellEnd"/>
      <w:r w:rsidRPr="00C30D1A">
        <w:rPr>
          <w:rFonts w:ascii="Times New Roman" w:hAnsi="Times New Roman" w:cs="Times New Roman"/>
          <w:sz w:val="24"/>
          <w:szCs w:val="24"/>
        </w:rPr>
        <w:t>, w tym dynamicznej możliwości realizacji lotów BSP.</w:t>
      </w:r>
    </w:p>
    <w:p w14:paraId="57EB5D36" w14:textId="3EFDFB65" w:rsidR="00EA4969" w:rsidRPr="00C30D1A" w:rsidRDefault="00EA4969" w:rsidP="00880703">
      <w:pPr>
        <w:jc w:val="both"/>
        <w:rPr>
          <w:rFonts w:ascii="Times New Roman" w:hAnsi="Times New Roman" w:cs="Times New Roman"/>
          <w:sz w:val="24"/>
          <w:szCs w:val="24"/>
        </w:rPr>
      </w:pPr>
      <w:r w:rsidRPr="00C30D1A">
        <w:rPr>
          <w:rFonts w:ascii="Times New Roman" w:hAnsi="Times New Roman" w:cs="Times New Roman"/>
          <w:sz w:val="24"/>
          <w:szCs w:val="24"/>
        </w:rPr>
        <w:t>Działanie te będą realizowane przez personel merytoryczny projektu oraz przez zespół IT</w:t>
      </w:r>
      <w:r w:rsidR="00C30D1A">
        <w:rPr>
          <w:rFonts w:ascii="Times New Roman" w:hAnsi="Times New Roman" w:cs="Times New Roman"/>
          <w:sz w:val="24"/>
          <w:szCs w:val="24"/>
        </w:rPr>
        <w:t>.</w:t>
      </w:r>
    </w:p>
    <w:p w14:paraId="2B9426DF" w14:textId="3D4E6418" w:rsidR="00C3312F" w:rsidRPr="00C30D1A" w:rsidRDefault="00C3312F" w:rsidP="00C30D1A">
      <w:pPr>
        <w:pStyle w:val="Akapitzlist"/>
        <w:numPr>
          <w:ilvl w:val="0"/>
          <w:numId w:val="16"/>
        </w:numPr>
        <w:jc w:val="both"/>
        <w:rPr>
          <w:rFonts w:ascii="Times New Roman" w:hAnsi="Times New Roman" w:cs="Times New Roman"/>
          <w:sz w:val="24"/>
          <w:szCs w:val="24"/>
          <w:u w:val="single"/>
        </w:rPr>
      </w:pPr>
      <w:r w:rsidRPr="00C30D1A">
        <w:rPr>
          <w:rFonts w:ascii="Times New Roman" w:hAnsi="Times New Roman" w:cs="Times New Roman"/>
          <w:sz w:val="24"/>
          <w:szCs w:val="24"/>
          <w:u w:val="single"/>
        </w:rPr>
        <w:t>Utrzymanie trzech obszarów</w:t>
      </w:r>
      <w:r w:rsidR="00C30D1A">
        <w:rPr>
          <w:rFonts w:ascii="Times New Roman" w:hAnsi="Times New Roman" w:cs="Times New Roman"/>
          <w:sz w:val="24"/>
          <w:szCs w:val="24"/>
          <w:u w:val="single"/>
        </w:rPr>
        <w:t>,</w:t>
      </w:r>
      <w:r w:rsidRPr="00C30D1A">
        <w:rPr>
          <w:rFonts w:ascii="Times New Roman" w:hAnsi="Times New Roman" w:cs="Times New Roman"/>
          <w:sz w:val="24"/>
          <w:szCs w:val="24"/>
          <w:u w:val="single"/>
        </w:rPr>
        <w:t xml:space="preserve"> w których wdrożono usługę „Zaawanso</w:t>
      </w:r>
      <w:r w:rsidR="00C30D1A">
        <w:rPr>
          <w:rFonts w:ascii="Times New Roman" w:hAnsi="Times New Roman" w:cs="Times New Roman"/>
          <w:sz w:val="24"/>
          <w:szCs w:val="24"/>
          <w:u w:val="single"/>
        </w:rPr>
        <w:t>wane loty BSP na szeroką skalę”</w:t>
      </w:r>
    </w:p>
    <w:p w14:paraId="02790523" w14:textId="77777777" w:rsidR="00C30D1A" w:rsidRDefault="00C3312F" w:rsidP="005131AF">
      <w:pPr>
        <w:jc w:val="both"/>
        <w:rPr>
          <w:rFonts w:ascii="Times New Roman" w:hAnsi="Times New Roman" w:cs="Times New Roman"/>
          <w:sz w:val="24"/>
          <w:szCs w:val="24"/>
        </w:rPr>
      </w:pPr>
      <w:r w:rsidRPr="00C30D1A">
        <w:rPr>
          <w:rFonts w:ascii="Times New Roman" w:hAnsi="Times New Roman" w:cs="Times New Roman"/>
          <w:sz w:val="24"/>
          <w:szCs w:val="24"/>
        </w:rPr>
        <w:t>Usługa będzie wdrożona w trzech obszarach. W ramach współpracy z tr</w:t>
      </w:r>
      <w:r w:rsidR="0099586E" w:rsidRPr="00C30D1A">
        <w:rPr>
          <w:rFonts w:ascii="Times New Roman" w:hAnsi="Times New Roman" w:cs="Times New Roman"/>
          <w:sz w:val="24"/>
          <w:szCs w:val="24"/>
        </w:rPr>
        <w:t>z</w:t>
      </w:r>
      <w:r w:rsidRPr="00C30D1A">
        <w:rPr>
          <w:rFonts w:ascii="Times New Roman" w:hAnsi="Times New Roman" w:cs="Times New Roman"/>
          <w:sz w:val="24"/>
          <w:szCs w:val="24"/>
        </w:rPr>
        <w:t>ema JST wyłoniony</w:t>
      </w:r>
      <w:r w:rsidR="0099586E" w:rsidRPr="00C30D1A">
        <w:rPr>
          <w:rFonts w:ascii="Times New Roman" w:hAnsi="Times New Roman" w:cs="Times New Roman"/>
          <w:sz w:val="24"/>
          <w:szCs w:val="24"/>
        </w:rPr>
        <w:t>mi</w:t>
      </w:r>
      <w:r w:rsidRPr="00C30D1A">
        <w:rPr>
          <w:rFonts w:ascii="Times New Roman" w:hAnsi="Times New Roman" w:cs="Times New Roman"/>
          <w:sz w:val="24"/>
          <w:szCs w:val="24"/>
        </w:rPr>
        <w:t xml:space="preserve"> w konkursie, na terenie których wdrożona zostan</w:t>
      </w:r>
      <w:r w:rsidR="001D0424" w:rsidRPr="00C30D1A">
        <w:rPr>
          <w:rFonts w:ascii="Times New Roman" w:hAnsi="Times New Roman" w:cs="Times New Roman"/>
          <w:sz w:val="24"/>
          <w:szCs w:val="24"/>
        </w:rPr>
        <w:t>ie</w:t>
      </w:r>
      <w:r w:rsidRPr="00C30D1A">
        <w:rPr>
          <w:rFonts w:ascii="Times New Roman" w:hAnsi="Times New Roman" w:cs="Times New Roman"/>
          <w:sz w:val="24"/>
          <w:szCs w:val="24"/>
        </w:rPr>
        <w:t xml:space="preserve"> usługa, koniecznym będzie pozyskiwanie różnego rodzaju informacji wpływających na bezpieczeństwo lotów BSP. Począwszy od </w:t>
      </w:r>
      <w:r w:rsidRPr="00C30D1A">
        <w:rPr>
          <w:rFonts w:ascii="Times New Roman" w:hAnsi="Times New Roman" w:cs="Times New Roman"/>
          <w:sz w:val="24"/>
          <w:szCs w:val="24"/>
        </w:rPr>
        <w:lastRenderedPageBreak/>
        <w:t xml:space="preserve">informacji o zdarzeniach tymczasowych </w:t>
      </w:r>
      <w:r w:rsidR="00EA4969" w:rsidRPr="00C30D1A">
        <w:rPr>
          <w:rFonts w:ascii="Times New Roman" w:hAnsi="Times New Roman" w:cs="Times New Roman"/>
          <w:sz w:val="24"/>
          <w:szCs w:val="24"/>
        </w:rPr>
        <w:t>mających wpływ na poziom zagęszczenia ludności</w:t>
      </w:r>
      <w:r w:rsidRPr="00C30D1A">
        <w:rPr>
          <w:rFonts w:ascii="Times New Roman" w:hAnsi="Times New Roman" w:cs="Times New Roman"/>
          <w:sz w:val="24"/>
          <w:szCs w:val="24"/>
        </w:rPr>
        <w:t xml:space="preserve"> (zgromadzenia, marsze, eventy</w:t>
      </w:r>
      <w:r w:rsidR="00EA4969" w:rsidRPr="00C30D1A">
        <w:rPr>
          <w:rFonts w:ascii="Times New Roman" w:hAnsi="Times New Roman" w:cs="Times New Roman"/>
          <w:sz w:val="24"/>
          <w:szCs w:val="24"/>
        </w:rPr>
        <w:t>, zmiany miejsc generowania się skupisk ludności), które będzie należało analizować pod kątem generowania poziomu ryzyka naziemnego, poprzez informacje na temat nowych planowanych przedsięwzięć w zakresie wykorzystywania dronów (zaawansowani, biznesowi użytkownicy usługi)</w:t>
      </w:r>
      <w:r w:rsidR="007A0F2D" w:rsidRPr="00C30D1A">
        <w:rPr>
          <w:rFonts w:ascii="Times New Roman" w:hAnsi="Times New Roman" w:cs="Times New Roman"/>
          <w:sz w:val="24"/>
          <w:szCs w:val="24"/>
        </w:rPr>
        <w:t xml:space="preserve"> czy realizowanych inwestycji </w:t>
      </w:r>
      <w:proofErr w:type="spellStart"/>
      <w:r w:rsidR="007A0F2D" w:rsidRPr="00C30D1A">
        <w:rPr>
          <w:rFonts w:ascii="Times New Roman" w:hAnsi="Times New Roman" w:cs="Times New Roman"/>
          <w:sz w:val="24"/>
          <w:szCs w:val="24"/>
        </w:rPr>
        <w:t>dronowych</w:t>
      </w:r>
      <w:proofErr w:type="spellEnd"/>
      <w:r w:rsidR="00EA4969" w:rsidRPr="00C30D1A">
        <w:rPr>
          <w:rFonts w:ascii="Times New Roman" w:hAnsi="Times New Roman" w:cs="Times New Roman"/>
          <w:sz w:val="24"/>
          <w:szCs w:val="24"/>
        </w:rPr>
        <w:t>, które będą wymagały zmian w konfiguracji przestrzeni p</w:t>
      </w:r>
      <w:r w:rsidR="00C30D1A">
        <w:rPr>
          <w:rFonts w:ascii="Times New Roman" w:hAnsi="Times New Roman" w:cs="Times New Roman"/>
          <w:sz w:val="24"/>
          <w:szCs w:val="24"/>
        </w:rPr>
        <w:t>owietrznej w danej lokalizacji.</w:t>
      </w:r>
    </w:p>
    <w:p w14:paraId="256B9256" w14:textId="398A1CA0" w:rsidR="007A0F2D" w:rsidRPr="00C30D1A" w:rsidRDefault="00EA4969" w:rsidP="005131AF">
      <w:pPr>
        <w:jc w:val="both"/>
        <w:rPr>
          <w:rFonts w:ascii="Times New Roman" w:hAnsi="Times New Roman" w:cs="Times New Roman"/>
          <w:sz w:val="24"/>
          <w:szCs w:val="24"/>
        </w:rPr>
      </w:pPr>
      <w:r w:rsidRPr="00C30D1A">
        <w:rPr>
          <w:rFonts w:ascii="Times New Roman" w:hAnsi="Times New Roman" w:cs="Times New Roman"/>
          <w:sz w:val="24"/>
          <w:szCs w:val="24"/>
        </w:rPr>
        <w:t>Działanie te będą realizowane przez personel merytoryczny projektu oraz przez zespół IT</w:t>
      </w:r>
      <w:r w:rsidR="007A0F2D" w:rsidRPr="00C30D1A">
        <w:rPr>
          <w:rFonts w:ascii="Times New Roman" w:hAnsi="Times New Roman" w:cs="Times New Roman"/>
          <w:sz w:val="24"/>
          <w:szCs w:val="24"/>
        </w:rPr>
        <w:t>.</w:t>
      </w:r>
    </w:p>
    <w:p w14:paraId="1C15A857" w14:textId="47E5F211" w:rsidR="007A0F2D" w:rsidRPr="00C30D1A" w:rsidRDefault="00C30D1A" w:rsidP="00C30D1A">
      <w:pPr>
        <w:pStyle w:val="Akapitzlist"/>
        <w:numPr>
          <w:ilvl w:val="0"/>
          <w:numId w:val="16"/>
        </w:numPr>
        <w:jc w:val="both"/>
        <w:rPr>
          <w:rFonts w:ascii="Times New Roman" w:hAnsi="Times New Roman" w:cs="Times New Roman"/>
          <w:sz w:val="24"/>
          <w:szCs w:val="24"/>
          <w:u w:val="single"/>
        </w:rPr>
      </w:pPr>
      <w:r w:rsidRPr="00C30D1A">
        <w:rPr>
          <w:rFonts w:ascii="Times New Roman" w:hAnsi="Times New Roman" w:cs="Times New Roman"/>
          <w:sz w:val="24"/>
          <w:szCs w:val="24"/>
          <w:u w:val="single"/>
        </w:rPr>
        <w:t>U</w:t>
      </w:r>
      <w:r w:rsidR="007A0F2D" w:rsidRPr="00C30D1A">
        <w:rPr>
          <w:rFonts w:ascii="Times New Roman" w:hAnsi="Times New Roman" w:cs="Times New Roman"/>
          <w:sz w:val="24"/>
          <w:szCs w:val="24"/>
          <w:u w:val="single"/>
        </w:rPr>
        <w:t xml:space="preserve">trzymanie infrastruktury </w:t>
      </w:r>
      <w:proofErr w:type="spellStart"/>
      <w:r w:rsidR="007A0F2D" w:rsidRPr="00C30D1A">
        <w:rPr>
          <w:rFonts w:ascii="Times New Roman" w:hAnsi="Times New Roman" w:cs="Times New Roman"/>
          <w:sz w:val="24"/>
          <w:szCs w:val="24"/>
          <w:u w:val="single"/>
        </w:rPr>
        <w:t>trackingowej</w:t>
      </w:r>
      <w:proofErr w:type="spellEnd"/>
      <w:r w:rsidR="004A1BF2" w:rsidRPr="00C30D1A">
        <w:rPr>
          <w:rFonts w:ascii="Times New Roman" w:hAnsi="Times New Roman" w:cs="Times New Roman"/>
          <w:sz w:val="24"/>
          <w:szCs w:val="24"/>
          <w:u w:val="single"/>
        </w:rPr>
        <w:t xml:space="preserve"> wraz z monitorin</w:t>
      </w:r>
      <w:r w:rsidR="008E6AAB" w:rsidRPr="00C30D1A">
        <w:rPr>
          <w:rFonts w:ascii="Times New Roman" w:hAnsi="Times New Roman" w:cs="Times New Roman"/>
          <w:sz w:val="24"/>
          <w:szCs w:val="24"/>
          <w:u w:val="single"/>
        </w:rPr>
        <w:t>g</w:t>
      </w:r>
      <w:r w:rsidR="004A1BF2" w:rsidRPr="00C30D1A">
        <w:rPr>
          <w:rFonts w:ascii="Times New Roman" w:hAnsi="Times New Roman" w:cs="Times New Roman"/>
          <w:sz w:val="24"/>
          <w:szCs w:val="24"/>
          <w:u w:val="single"/>
        </w:rPr>
        <w:t xml:space="preserve">iem </w:t>
      </w:r>
      <w:proofErr w:type="spellStart"/>
      <w:r w:rsidR="004A1BF2" w:rsidRPr="00C30D1A">
        <w:rPr>
          <w:rFonts w:ascii="Times New Roman" w:hAnsi="Times New Roman" w:cs="Times New Roman"/>
          <w:sz w:val="24"/>
          <w:szCs w:val="24"/>
          <w:u w:val="single"/>
        </w:rPr>
        <w:t>trackingu</w:t>
      </w:r>
      <w:proofErr w:type="spellEnd"/>
      <w:r w:rsidR="008E6AAB" w:rsidRPr="00C30D1A">
        <w:rPr>
          <w:rFonts w:ascii="Times New Roman" w:hAnsi="Times New Roman" w:cs="Times New Roman"/>
          <w:sz w:val="24"/>
          <w:szCs w:val="24"/>
          <w:u w:val="single"/>
        </w:rPr>
        <w:t xml:space="preserve"> - „Zaawanso</w:t>
      </w:r>
      <w:r>
        <w:rPr>
          <w:rFonts w:ascii="Times New Roman" w:hAnsi="Times New Roman" w:cs="Times New Roman"/>
          <w:sz w:val="24"/>
          <w:szCs w:val="24"/>
          <w:u w:val="single"/>
        </w:rPr>
        <w:t>wane loty BSP na szeroką skalę”</w:t>
      </w:r>
    </w:p>
    <w:p w14:paraId="6E29F3EC" w14:textId="77777777" w:rsidR="00C30D1A" w:rsidRDefault="008E6AAB" w:rsidP="005131AF">
      <w:pPr>
        <w:jc w:val="both"/>
        <w:rPr>
          <w:rFonts w:ascii="Times New Roman" w:hAnsi="Times New Roman" w:cs="Times New Roman"/>
          <w:sz w:val="24"/>
          <w:szCs w:val="24"/>
          <w:u w:val="single"/>
        </w:rPr>
      </w:pPr>
      <w:r w:rsidRPr="00C30D1A">
        <w:rPr>
          <w:rFonts w:ascii="Times New Roman" w:hAnsi="Times New Roman" w:cs="Times New Roman"/>
          <w:sz w:val="24"/>
          <w:szCs w:val="24"/>
        </w:rPr>
        <w:t xml:space="preserve">Zainstalowana infrastruktura do zbierania informacji o położeniu BSP wymagała będzie stałego monitoringu poprawności działania. Począwszy od </w:t>
      </w:r>
      <w:r w:rsidR="00AC6ABC" w:rsidRPr="00C30D1A">
        <w:rPr>
          <w:rFonts w:ascii="Times New Roman" w:hAnsi="Times New Roman" w:cs="Times New Roman"/>
          <w:sz w:val="24"/>
          <w:szCs w:val="24"/>
        </w:rPr>
        <w:t xml:space="preserve">analizy działania poszczególnych komponentów infrastruktury, poprzez walidację poprawności zbierania informacji z urządzeń, weryfikację poprawności pozyskiwanych informacji o położeniu BSP względem rzeczywistego jego położenia, aż po dokonywanie oblotów obszarów, celem weryfikacji aktualnego pola pokrycia zasięgu urządzeń odbiorczych. Wyniki tego ostatniego będą wymagały przygotowania nowych stref, w których będzie określany brak możliwości planowania operacji ze względu na brak pokrycia w danej lokalizacji w zakresie określonych wysokości. Dane te będą implementowane do systemu i weryfikowane pod kątem poprawności działania usług.   </w:t>
      </w:r>
      <w:r w:rsidRPr="00C30D1A">
        <w:rPr>
          <w:rFonts w:ascii="Times New Roman" w:hAnsi="Times New Roman" w:cs="Times New Roman"/>
          <w:sz w:val="24"/>
          <w:szCs w:val="24"/>
        </w:rPr>
        <w:t>w tym prac związanych z jej utrzymaniem.</w:t>
      </w:r>
    </w:p>
    <w:p w14:paraId="32201B02" w14:textId="16B9BA3A" w:rsidR="008E6AAB" w:rsidRPr="00C30D1A" w:rsidRDefault="00AC6ABC" w:rsidP="005131AF">
      <w:pPr>
        <w:jc w:val="both"/>
        <w:rPr>
          <w:rFonts w:ascii="Times New Roman" w:hAnsi="Times New Roman" w:cs="Times New Roman"/>
          <w:sz w:val="24"/>
          <w:szCs w:val="24"/>
        </w:rPr>
      </w:pPr>
      <w:r w:rsidRPr="00C30D1A">
        <w:rPr>
          <w:rFonts w:ascii="Times New Roman" w:hAnsi="Times New Roman" w:cs="Times New Roman"/>
          <w:sz w:val="24"/>
          <w:szCs w:val="24"/>
        </w:rPr>
        <w:t>Działania te będą realizowane przez personel merytoryczny projektu oraz przez zespół IT.</w:t>
      </w:r>
    </w:p>
    <w:p w14:paraId="49286E6B" w14:textId="504C6F62" w:rsidR="00C3312F" w:rsidRPr="00C30D1A" w:rsidRDefault="00C30D1A" w:rsidP="00C30D1A">
      <w:pPr>
        <w:pStyle w:val="Akapitzlist"/>
        <w:numPr>
          <w:ilvl w:val="0"/>
          <w:numId w:val="16"/>
        </w:numPr>
        <w:jc w:val="both"/>
        <w:rPr>
          <w:rFonts w:ascii="Times New Roman" w:hAnsi="Times New Roman" w:cs="Times New Roman"/>
          <w:sz w:val="24"/>
          <w:szCs w:val="24"/>
          <w:u w:val="single"/>
        </w:rPr>
      </w:pPr>
      <w:r w:rsidRPr="00C30D1A">
        <w:rPr>
          <w:rFonts w:ascii="Times New Roman" w:hAnsi="Times New Roman" w:cs="Times New Roman"/>
          <w:sz w:val="24"/>
          <w:szCs w:val="24"/>
          <w:u w:val="single"/>
        </w:rPr>
        <w:t>H</w:t>
      </w:r>
      <w:r w:rsidR="004A1BF2" w:rsidRPr="00C30D1A">
        <w:rPr>
          <w:rFonts w:ascii="Times New Roman" w:hAnsi="Times New Roman" w:cs="Times New Roman"/>
          <w:sz w:val="24"/>
          <w:szCs w:val="24"/>
          <w:u w:val="single"/>
        </w:rPr>
        <w:t xml:space="preserve">elp </w:t>
      </w:r>
      <w:proofErr w:type="spellStart"/>
      <w:r w:rsidR="004A1BF2" w:rsidRPr="00C30D1A">
        <w:rPr>
          <w:rFonts w:ascii="Times New Roman" w:hAnsi="Times New Roman" w:cs="Times New Roman"/>
          <w:sz w:val="24"/>
          <w:szCs w:val="24"/>
          <w:u w:val="single"/>
        </w:rPr>
        <w:t>desk</w:t>
      </w:r>
      <w:proofErr w:type="spellEnd"/>
      <w:r w:rsidR="00EA4969" w:rsidRPr="00C30D1A">
        <w:rPr>
          <w:rFonts w:ascii="Times New Roman" w:hAnsi="Times New Roman" w:cs="Times New Roman"/>
          <w:sz w:val="24"/>
          <w:szCs w:val="24"/>
          <w:u w:val="single"/>
        </w:rPr>
        <w:t xml:space="preserve"> </w:t>
      </w:r>
      <w:r w:rsidRPr="00C30D1A">
        <w:rPr>
          <w:rFonts w:ascii="Times New Roman" w:hAnsi="Times New Roman" w:cs="Times New Roman"/>
          <w:sz w:val="24"/>
          <w:szCs w:val="24"/>
          <w:u w:val="single"/>
        </w:rPr>
        <w:t>– wszystkie usługi</w:t>
      </w:r>
    </w:p>
    <w:p w14:paraId="13109AAD" w14:textId="7DF59151" w:rsidR="00AC6ABC" w:rsidRPr="00C30D1A" w:rsidRDefault="00AC6ABC" w:rsidP="005131AF">
      <w:pPr>
        <w:jc w:val="both"/>
        <w:rPr>
          <w:rFonts w:ascii="Times New Roman" w:hAnsi="Times New Roman" w:cs="Times New Roman"/>
          <w:sz w:val="24"/>
          <w:szCs w:val="24"/>
        </w:rPr>
      </w:pPr>
      <w:r w:rsidRPr="00C30D1A">
        <w:rPr>
          <w:rFonts w:ascii="Times New Roman" w:hAnsi="Times New Roman" w:cs="Times New Roman"/>
          <w:sz w:val="24"/>
          <w:szCs w:val="24"/>
        </w:rPr>
        <w:t xml:space="preserve">Istnieje potrzeba obsługi klientów 6 wdrożonych usług. Złożoność systemów i usług będzie z całą pewnością wymagała wsparcia na bieżąco użytkowników – klientów. Powyższe wynika zarówno z dotychczasowych doświadczeń PAŻP w zakresie udostępniania </w:t>
      </w:r>
      <w:proofErr w:type="spellStart"/>
      <w:r w:rsidRPr="00C30D1A">
        <w:rPr>
          <w:rFonts w:ascii="Times New Roman" w:hAnsi="Times New Roman" w:cs="Times New Roman"/>
          <w:sz w:val="24"/>
          <w:szCs w:val="24"/>
        </w:rPr>
        <w:t>użytownikom</w:t>
      </w:r>
      <w:proofErr w:type="spellEnd"/>
      <w:r w:rsidRPr="00C30D1A">
        <w:rPr>
          <w:rFonts w:ascii="Times New Roman" w:hAnsi="Times New Roman" w:cs="Times New Roman"/>
          <w:sz w:val="24"/>
          <w:szCs w:val="24"/>
        </w:rPr>
        <w:t xml:space="preserve"> systemów </w:t>
      </w:r>
      <w:proofErr w:type="spellStart"/>
      <w:r w:rsidRPr="00C30D1A">
        <w:rPr>
          <w:rFonts w:ascii="Times New Roman" w:hAnsi="Times New Roman" w:cs="Times New Roman"/>
          <w:sz w:val="24"/>
          <w:szCs w:val="24"/>
        </w:rPr>
        <w:t>dronowych</w:t>
      </w:r>
      <w:proofErr w:type="spellEnd"/>
      <w:r w:rsidRPr="00C30D1A">
        <w:rPr>
          <w:rFonts w:ascii="Times New Roman" w:hAnsi="Times New Roman" w:cs="Times New Roman"/>
          <w:sz w:val="24"/>
          <w:szCs w:val="24"/>
        </w:rPr>
        <w:t>, jak również ze świadomości skali wdrożenia przedmiotowych usług i ich poziomu złożoności. Szerzej zagadnienie opisane w dalszej części dokumentu.</w:t>
      </w:r>
    </w:p>
    <w:p w14:paraId="23D12FD2" w14:textId="2AA54D53" w:rsidR="00AC6ABC" w:rsidRPr="00C30D1A" w:rsidRDefault="00C30D1A" w:rsidP="00C30D1A">
      <w:pPr>
        <w:pStyle w:val="Akapitzlist"/>
        <w:numPr>
          <w:ilvl w:val="0"/>
          <w:numId w:val="16"/>
        </w:numPr>
        <w:jc w:val="both"/>
        <w:rPr>
          <w:rFonts w:ascii="Times New Roman" w:hAnsi="Times New Roman" w:cs="Times New Roman"/>
          <w:sz w:val="24"/>
          <w:szCs w:val="24"/>
        </w:rPr>
      </w:pPr>
      <w:r w:rsidRPr="00C30D1A">
        <w:rPr>
          <w:rFonts w:ascii="Times New Roman" w:hAnsi="Times New Roman" w:cs="Times New Roman"/>
          <w:sz w:val="24"/>
          <w:szCs w:val="24"/>
        </w:rPr>
        <w:t>P</w:t>
      </w:r>
      <w:r w:rsidR="004A1BF2" w:rsidRPr="00C30D1A">
        <w:rPr>
          <w:rFonts w:ascii="Times New Roman" w:hAnsi="Times New Roman" w:cs="Times New Roman"/>
          <w:sz w:val="24"/>
          <w:szCs w:val="24"/>
        </w:rPr>
        <w:t>rocedowanie planów misji</w:t>
      </w:r>
      <w:r w:rsidR="00AC6ABC" w:rsidRPr="00C30D1A">
        <w:rPr>
          <w:rFonts w:ascii="Times New Roman" w:hAnsi="Times New Roman" w:cs="Times New Roman"/>
          <w:sz w:val="24"/>
          <w:szCs w:val="24"/>
        </w:rPr>
        <w:t xml:space="preserve"> wraz z an</w:t>
      </w:r>
      <w:r>
        <w:rPr>
          <w:rFonts w:ascii="Times New Roman" w:hAnsi="Times New Roman" w:cs="Times New Roman"/>
          <w:sz w:val="24"/>
          <w:szCs w:val="24"/>
        </w:rPr>
        <w:t>alizą sytuacji operacyjnej dla trzech</w:t>
      </w:r>
      <w:r w:rsidR="00AC6ABC" w:rsidRPr="00C30D1A">
        <w:rPr>
          <w:rFonts w:ascii="Times New Roman" w:hAnsi="Times New Roman" w:cs="Times New Roman"/>
          <w:sz w:val="24"/>
          <w:szCs w:val="24"/>
        </w:rPr>
        <w:t xml:space="preserve"> lokalizacji - </w:t>
      </w:r>
      <w:r w:rsidR="00AC6ABC" w:rsidRPr="00C30D1A">
        <w:rPr>
          <w:rFonts w:ascii="Times New Roman" w:hAnsi="Times New Roman" w:cs="Times New Roman"/>
          <w:sz w:val="24"/>
          <w:szCs w:val="24"/>
          <w:u w:val="single"/>
        </w:rPr>
        <w:t>„Zaawansowane loty BSP na szeroką skalę”.</w:t>
      </w:r>
    </w:p>
    <w:p w14:paraId="2AC4BD24" w14:textId="16BD05D5" w:rsidR="00AC6ABC" w:rsidRPr="00C30D1A" w:rsidRDefault="00926B06" w:rsidP="005131AF">
      <w:pPr>
        <w:jc w:val="both"/>
        <w:rPr>
          <w:rFonts w:ascii="Times New Roman" w:hAnsi="Times New Roman" w:cs="Times New Roman"/>
          <w:sz w:val="24"/>
          <w:szCs w:val="24"/>
        </w:rPr>
      </w:pPr>
      <w:r w:rsidRPr="00C30D1A">
        <w:rPr>
          <w:rFonts w:ascii="Times New Roman" w:hAnsi="Times New Roman" w:cs="Times New Roman"/>
          <w:sz w:val="24"/>
          <w:szCs w:val="24"/>
        </w:rPr>
        <w:t>U</w:t>
      </w:r>
      <w:r w:rsidR="00C30D1A">
        <w:rPr>
          <w:rFonts w:ascii="Times New Roman" w:hAnsi="Times New Roman" w:cs="Times New Roman"/>
          <w:sz w:val="24"/>
          <w:szCs w:val="24"/>
        </w:rPr>
        <w:t>żytkownicy trzech</w:t>
      </w:r>
      <w:r w:rsidRPr="00C30D1A">
        <w:rPr>
          <w:rFonts w:ascii="Times New Roman" w:hAnsi="Times New Roman" w:cs="Times New Roman"/>
          <w:sz w:val="24"/>
          <w:szCs w:val="24"/>
        </w:rPr>
        <w:t xml:space="preserve"> lokalizacji, w których uruchomiona będzie usługa, przed rozpoczęciem lotów będą zgłaszali swoje plany misji. Część z tych planów misji będzie wymagała manualnego procedowania planów misji. Dotyczyć to będzie tych misji, które nie przeszły automatycznie procesu walidacji. Zadanie to będzie na bieżąco realizował merytoryczny personel (SUP DTM Autonomia), który będzie dokonywał oceny możliwości realizacji zgłoszonej misji w zakresie parametrów przekraczających standardowe rozwiązania, w tym rozstrzygania o nadaniu priorytetów. Ponadto ten sam personel będzie równolegle  odpowiedzialny za anal</w:t>
      </w:r>
      <w:r w:rsidR="00C30D1A">
        <w:rPr>
          <w:rFonts w:ascii="Times New Roman" w:hAnsi="Times New Roman" w:cs="Times New Roman"/>
          <w:sz w:val="24"/>
          <w:szCs w:val="24"/>
        </w:rPr>
        <w:t>izę sytuacji operacyjnej w w/w trzech</w:t>
      </w:r>
      <w:r w:rsidRPr="00C30D1A">
        <w:rPr>
          <w:rFonts w:ascii="Times New Roman" w:hAnsi="Times New Roman" w:cs="Times New Roman"/>
          <w:sz w:val="24"/>
          <w:szCs w:val="24"/>
        </w:rPr>
        <w:t xml:space="preserve"> lokalizacjach, i będzie w sytuacjach niestandardowych reagował na nieprawidłowości w zakresie bezpieczeństwa realizacji misji BSP. Szerzej zagadnienie opisane w dalszej części dokumentu.</w:t>
      </w:r>
    </w:p>
    <w:p w14:paraId="6A5CF66B" w14:textId="21B7C7D9" w:rsidR="00C3312F" w:rsidRPr="00C30D1A" w:rsidRDefault="00C30D1A" w:rsidP="00C30D1A">
      <w:pPr>
        <w:pStyle w:val="Akapitzlist"/>
        <w:numPr>
          <w:ilvl w:val="0"/>
          <w:numId w:val="16"/>
        </w:numPr>
        <w:jc w:val="both"/>
        <w:rPr>
          <w:rFonts w:ascii="Times New Roman" w:hAnsi="Times New Roman" w:cs="Times New Roman"/>
          <w:sz w:val="24"/>
          <w:szCs w:val="24"/>
          <w:u w:val="single"/>
        </w:rPr>
      </w:pPr>
      <w:r>
        <w:rPr>
          <w:rFonts w:ascii="Times New Roman" w:hAnsi="Times New Roman" w:cs="Times New Roman"/>
          <w:sz w:val="24"/>
          <w:szCs w:val="24"/>
          <w:u w:val="single"/>
        </w:rPr>
        <w:t>K</w:t>
      </w:r>
      <w:r w:rsidR="00C3312F" w:rsidRPr="00C30D1A">
        <w:rPr>
          <w:rFonts w:ascii="Times New Roman" w:hAnsi="Times New Roman" w:cs="Times New Roman"/>
          <w:sz w:val="24"/>
          <w:szCs w:val="24"/>
          <w:u w:val="single"/>
        </w:rPr>
        <w:t xml:space="preserve">omunikacja z </w:t>
      </w:r>
      <w:r w:rsidR="00926B06" w:rsidRPr="00C30D1A">
        <w:rPr>
          <w:rFonts w:ascii="Times New Roman" w:hAnsi="Times New Roman" w:cs="Times New Roman"/>
          <w:sz w:val="24"/>
          <w:szCs w:val="24"/>
          <w:u w:val="single"/>
        </w:rPr>
        <w:t xml:space="preserve">JST </w:t>
      </w:r>
      <w:r>
        <w:rPr>
          <w:rFonts w:ascii="Times New Roman" w:hAnsi="Times New Roman" w:cs="Times New Roman"/>
          <w:sz w:val="24"/>
          <w:szCs w:val="24"/>
          <w:u w:val="single"/>
        </w:rPr>
        <w:t xml:space="preserve">praz </w:t>
      </w:r>
      <w:r w:rsidR="00C3312F" w:rsidRPr="00C30D1A">
        <w:rPr>
          <w:rFonts w:ascii="Times New Roman" w:hAnsi="Times New Roman" w:cs="Times New Roman"/>
          <w:sz w:val="24"/>
          <w:szCs w:val="24"/>
          <w:u w:val="single"/>
        </w:rPr>
        <w:t xml:space="preserve">lokalnymi mieszkańcami </w:t>
      </w:r>
      <w:r w:rsidR="00926B06" w:rsidRPr="00C30D1A">
        <w:rPr>
          <w:rFonts w:ascii="Times New Roman" w:hAnsi="Times New Roman" w:cs="Times New Roman"/>
          <w:sz w:val="24"/>
          <w:szCs w:val="24"/>
          <w:u w:val="single"/>
        </w:rPr>
        <w:t>- „Zaawansowane lo</w:t>
      </w:r>
      <w:r w:rsidR="00885108">
        <w:rPr>
          <w:rFonts w:ascii="Times New Roman" w:hAnsi="Times New Roman" w:cs="Times New Roman"/>
          <w:sz w:val="24"/>
          <w:szCs w:val="24"/>
          <w:u w:val="single"/>
        </w:rPr>
        <w:t>ty BSP na szeroką skalę”</w:t>
      </w:r>
    </w:p>
    <w:p w14:paraId="0CEA92B2" w14:textId="77777777" w:rsidR="00C30D1A" w:rsidRDefault="00926B06" w:rsidP="00C30D1A">
      <w:pPr>
        <w:jc w:val="both"/>
        <w:rPr>
          <w:rFonts w:ascii="Times New Roman" w:hAnsi="Times New Roman" w:cs="Times New Roman"/>
          <w:sz w:val="24"/>
          <w:szCs w:val="24"/>
        </w:rPr>
      </w:pPr>
      <w:r w:rsidRPr="00C30D1A">
        <w:rPr>
          <w:rFonts w:ascii="Times New Roman" w:hAnsi="Times New Roman" w:cs="Times New Roman"/>
          <w:sz w:val="24"/>
          <w:szCs w:val="24"/>
        </w:rPr>
        <w:lastRenderedPageBreak/>
        <w:t>Podpisane umowy z trzema JST – laureatami konkursu na wdrożenie usługi „Zaawansowane loty BSP na szeroką skalę” zakładają bliską współpracę JST i PAŻP. Wymagało to będzie obsługi eksperckiej zarówno w zakresie działań JST, jak również do kontaktów z lokalnymi mieszkańcami, w rejonie których działa przedmiotowa usługa.</w:t>
      </w:r>
      <w:r w:rsidR="00CF303B" w:rsidRPr="00C30D1A">
        <w:rPr>
          <w:rFonts w:ascii="Times New Roman" w:hAnsi="Times New Roman" w:cs="Times New Roman"/>
          <w:sz w:val="24"/>
          <w:szCs w:val="24"/>
        </w:rPr>
        <w:t xml:space="preserve"> Komunikacja będzie dotyczyła </w:t>
      </w:r>
      <w:r w:rsidRPr="00C30D1A">
        <w:rPr>
          <w:rFonts w:ascii="Times New Roman" w:hAnsi="Times New Roman" w:cs="Times New Roman"/>
          <w:sz w:val="24"/>
          <w:szCs w:val="24"/>
        </w:rPr>
        <w:t>eliminacji ewentualnych niepokojów społecznych i wyjaśniania działania systemu i zagadnień związanych z bezpieczeństwem.</w:t>
      </w:r>
    </w:p>
    <w:p w14:paraId="38DADF5E" w14:textId="317FD747" w:rsidR="00CF303B" w:rsidRPr="00C30D1A" w:rsidRDefault="00C30D1A" w:rsidP="00C30D1A">
      <w:pPr>
        <w:pStyle w:val="Akapitzlist"/>
        <w:numPr>
          <w:ilvl w:val="0"/>
          <w:numId w:val="16"/>
        </w:numPr>
        <w:jc w:val="both"/>
        <w:rPr>
          <w:rFonts w:ascii="Times New Roman" w:hAnsi="Times New Roman" w:cs="Times New Roman"/>
          <w:sz w:val="24"/>
          <w:szCs w:val="24"/>
        </w:rPr>
      </w:pPr>
      <w:r w:rsidRPr="00C30D1A">
        <w:rPr>
          <w:rFonts w:ascii="Times New Roman" w:hAnsi="Times New Roman" w:cs="Times New Roman"/>
          <w:sz w:val="24"/>
          <w:szCs w:val="24"/>
          <w:u w:val="single"/>
        </w:rPr>
        <w:t>O</w:t>
      </w:r>
      <w:r w:rsidR="00CF303B" w:rsidRPr="00C30D1A">
        <w:rPr>
          <w:rFonts w:ascii="Times New Roman" w:hAnsi="Times New Roman" w:cs="Times New Roman"/>
          <w:sz w:val="24"/>
          <w:szCs w:val="24"/>
          <w:u w:val="single"/>
        </w:rPr>
        <w:t>bsługa użytkowników systemu (usługa e-identyfikacja)</w:t>
      </w:r>
    </w:p>
    <w:p w14:paraId="07CBA6D4" w14:textId="3300E944" w:rsidR="00CF303B" w:rsidRPr="00C30D1A" w:rsidRDefault="00CF303B" w:rsidP="005131AF">
      <w:pPr>
        <w:jc w:val="both"/>
        <w:rPr>
          <w:rFonts w:ascii="Times New Roman" w:hAnsi="Times New Roman" w:cs="Times New Roman"/>
          <w:sz w:val="24"/>
          <w:szCs w:val="24"/>
        </w:rPr>
      </w:pPr>
      <w:r w:rsidRPr="00C30D1A">
        <w:rPr>
          <w:rFonts w:ascii="Times New Roman" w:hAnsi="Times New Roman" w:cs="Times New Roman"/>
          <w:sz w:val="24"/>
          <w:szCs w:val="24"/>
        </w:rPr>
        <w:t>Usługa będzie zbierała zgłoszenia od obywateli w zakresie potencjalnie nielegalnych lotów BSP. Większość zgłoszeń będzie procedowana automatycznie przez system i informacje te będą bezpośrednio przekazywane do służb porząd</w:t>
      </w:r>
      <w:r w:rsidR="00C30D1A">
        <w:rPr>
          <w:rFonts w:ascii="Times New Roman" w:hAnsi="Times New Roman" w:cs="Times New Roman"/>
          <w:sz w:val="24"/>
          <w:szCs w:val="24"/>
        </w:rPr>
        <w:t>ku publicznego,</w:t>
      </w:r>
      <w:r w:rsidRPr="00C30D1A">
        <w:rPr>
          <w:rFonts w:ascii="Times New Roman" w:hAnsi="Times New Roman" w:cs="Times New Roman"/>
          <w:sz w:val="24"/>
          <w:szCs w:val="24"/>
        </w:rPr>
        <w:t xml:space="preserve"> m.in. Policji.</w:t>
      </w:r>
    </w:p>
    <w:p w14:paraId="106D1484" w14:textId="6187E0E1" w:rsidR="00CF303B" w:rsidRPr="00C30D1A" w:rsidRDefault="00CF303B" w:rsidP="005131AF">
      <w:pPr>
        <w:jc w:val="both"/>
        <w:rPr>
          <w:rFonts w:ascii="Times New Roman" w:hAnsi="Times New Roman" w:cs="Times New Roman"/>
          <w:sz w:val="24"/>
          <w:szCs w:val="24"/>
        </w:rPr>
      </w:pPr>
      <w:r w:rsidRPr="00C30D1A">
        <w:rPr>
          <w:rFonts w:ascii="Times New Roman" w:hAnsi="Times New Roman" w:cs="Times New Roman"/>
          <w:sz w:val="24"/>
          <w:szCs w:val="24"/>
        </w:rPr>
        <w:t>Niektóre zgłoszenia, ze względu na swoją niejednoznaczność, nie będą automatycznie procedowane i będą wymagały analizy eksperckiej w zakresie określenia</w:t>
      </w:r>
      <w:r w:rsidR="00885108">
        <w:rPr>
          <w:rFonts w:ascii="Times New Roman" w:hAnsi="Times New Roman" w:cs="Times New Roman"/>
          <w:sz w:val="24"/>
          <w:szCs w:val="24"/>
        </w:rPr>
        <w:t xml:space="preserve"> prawidłowej oceny zgłoszenia.</w:t>
      </w:r>
    </w:p>
    <w:p w14:paraId="3A5EC420" w14:textId="260D59D2" w:rsidR="00CF303B" w:rsidRPr="00C30D1A" w:rsidRDefault="00C30D1A" w:rsidP="00C30D1A">
      <w:pPr>
        <w:pStyle w:val="Akapitzlist"/>
        <w:numPr>
          <w:ilvl w:val="0"/>
          <w:numId w:val="16"/>
        </w:numPr>
        <w:jc w:val="both"/>
        <w:rPr>
          <w:rFonts w:ascii="Times New Roman" w:hAnsi="Times New Roman" w:cs="Times New Roman"/>
          <w:sz w:val="24"/>
          <w:szCs w:val="24"/>
          <w:u w:val="single"/>
        </w:rPr>
      </w:pPr>
      <w:r w:rsidRPr="00C30D1A">
        <w:rPr>
          <w:rFonts w:ascii="Times New Roman" w:hAnsi="Times New Roman" w:cs="Times New Roman"/>
          <w:sz w:val="24"/>
          <w:szCs w:val="24"/>
          <w:u w:val="single"/>
        </w:rPr>
        <w:t>O</w:t>
      </w:r>
      <w:r w:rsidR="00CF303B" w:rsidRPr="00C30D1A">
        <w:rPr>
          <w:rFonts w:ascii="Times New Roman" w:hAnsi="Times New Roman" w:cs="Times New Roman"/>
          <w:sz w:val="24"/>
          <w:szCs w:val="24"/>
          <w:u w:val="single"/>
        </w:rPr>
        <w:t>bsługa użytkowników systemu (DYNAMIC SAFETY &amp; SECURITY)</w:t>
      </w:r>
    </w:p>
    <w:p w14:paraId="1B8D8737" w14:textId="217F518F" w:rsidR="00CF303B" w:rsidRPr="00C30D1A" w:rsidRDefault="00CF303B" w:rsidP="00CF303B">
      <w:pPr>
        <w:jc w:val="both"/>
        <w:rPr>
          <w:rFonts w:ascii="Times New Roman" w:hAnsi="Times New Roman" w:cs="Times New Roman"/>
          <w:sz w:val="24"/>
          <w:szCs w:val="24"/>
        </w:rPr>
      </w:pPr>
      <w:r w:rsidRPr="00C30D1A">
        <w:rPr>
          <w:rFonts w:ascii="Times New Roman" w:hAnsi="Times New Roman" w:cs="Times New Roman"/>
          <w:sz w:val="24"/>
          <w:szCs w:val="24"/>
        </w:rPr>
        <w:t xml:space="preserve">Usługa będzie wspierała służby porządku publicznego w zgłaszaniu potrzeby wprowadzania ograniczeń w użytkowaniu przestrzeni (SOP, Policja, ABW, Straż Miejska, </w:t>
      </w:r>
      <w:r w:rsidR="00CC62AA">
        <w:rPr>
          <w:rFonts w:ascii="Times New Roman" w:hAnsi="Times New Roman" w:cs="Times New Roman"/>
          <w:sz w:val="24"/>
          <w:szCs w:val="24"/>
        </w:rPr>
        <w:t>RCB</w:t>
      </w:r>
      <w:r w:rsidRPr="00C30D1A">
        <w:rPr>
          <w:rFonts w:ascii="Times New Roman" w:hAnsi="Times New Roman" w:cs="Times New Roman"/>
          <w:sz w:val="24"/>
          <w:szCs w:val="24"/>
        </w:rPr>
        <w:t>, Straż Pożarna itd.). Pomimo automatyzacji samego procesu, zarządzanie uprawnieniami i kontami, przypisywanie ról i odpowiedzialności będzie wymagało licznej aktualizacji informacji i modyfikacji konfiguracji systemu. Działania te będą realizowane przez personel merytoryczny projektu oraz przez zespół IT.</w:t>
      </w:r>
    </w:p>
    <w:p w14:paraId="1B743D6F" w14:textId="7105909F" w:rsidR="00101A64" w:rsidRPr="00C30D1A" w:rsidRDefault="00A1588D" w:rsidP="005131AF">
      <w:pPr>
        <w:jc w:val="both"/>
        <w:rPr>
          <w:rFonts w:ascii="Times New Roman" w:hAnsi="Times New Roman" w:cs="Times New Roman"/>
          <w:sz w:val="24"/>
          <w:szCs w:val="24"/>
        </w:rPr>
      </w:pPr>
      <w:r w:rsidRPr="00C30D1A">
        <w:rPr>
          <w:rFonts w:ascii="Times New Roman" w:hAnsi="Times New Roman" w:cs="Times New Roman"/>
          <w:sz w:val="24"/>
          <w:szCs w:val="24"/>
        </w:rPr>
        <w:t>W wyniku przeprowadzonych a</w:t>
      </w:r>
      <w:r w:rsidR="0020431C" w:rsidRPr="00C30D1A">
        <w:rPr>
          <w:rFonts w:ascii="Times New Roman" w:hAnsi="Times New Roman" w:cs="Times New Roman"/>
          <w:sz w:val="24"/>
          <w:szCs w:val="24"/>
        </w:rPr>
        <w:t>ktualizacji</w:t>
      </w:r>
      <w:r w:rsidR="00CD67F4" w:rsidRPr="00C30D1A">
        <w:rPr>
          <w:rStyle w:val="Odwoanieprzypisudolnego"/>
          <w:rFonts w:ascii="Times New Roman" w:hAnsi="Times New Roman" w:cs="Times New Roman"/>
          <w:sz w:val="24"/>
          <w:szCs w:val="24"/>
        </w:rPr>
        <w:footnoteReference w:id="1"/>
      </w:r>
      <w:r w:rsidR="0020431C" w:rsidRPr="00C30D1A">
        <w:rPr>
          <w:rFonts w:ascii="Times New Roman" w:hAnsi="Times New Roman" w:cs="Times New Roman"/>
          <w:sz w:val="24"/>
          <w:szCs w:val="24"/>
        </w:rPr>
        <w:t>, poniżej przedstawi</w:t>
      </w:r>
      <w:r w:rsidR="005C072D" w:rsidRPr="00C30D1A">
        <w:rPr>
          <w:rFonts w:ascii="Times New Roman" w:hAnsi="Times New Roman" w:cs="Times New Roman"/>
          <w:sz w:val="24"/>
          <w:szCs w:val="24"/>
        </w:rPr>
        <w:t>ono</w:t>
      </w:r>
      <w:r w:rsidR="0020431C" w:rsidRPr="00C30D1A">
        <w:rPr>
          <w:rFonts w:ascii="Times New Roman" w:hAnsi="Times New Roman" w:cs="Times New Roman"/>
          <w:sz w:val="24"/>
          <w:szCs w:val="24"/>
        </w:rPr>
        <w:t xml:space="preserve"> zestawienie zbiorcze szacowanych kosztów utrzymania efektów projektu </w:t>
      </w:r>
      <w:r w:rsidR="00CC62AA" w:rsidRPr="00CC62AA">
        <w:rPr>
          <w:rFonts w:ascii="Times New Roman" w:hAnsi="Times New Roman" w:cs="Times New Roman"/>
          <w:sz w:val="24"/>
          <w:szCs w:val="24"/>
        </w:rPr>
        <w:t>„Usługi cyfrowe dla bezzałogowych statków powietrznych”</w:t>
      </w:r>
      <w:r w:rsidR="00CC62AA">
        <w:rPr>
          <w:rFonts w:ascii="Times New Roman" w:hAnsi="Times New Roman" w:cs="Times New Roman"/>
          <w:sz w:val="24"/>
          <w:szCs w:val="24"/>
        </w:rPr>
        <w:t xml:space="preserve"> </w:t>
      </w:r>
      <w:r w:rsidR="0020431C" w:rsidRPr="00C30D1A">
        <w:rPr>
          <w:rFonts w:ascii="Times New Roman" w:hAnsi="Times New Roman" w:cs="Times New Roman"/>
          <w:sz w:val="24"/>
          <w:szCs w:val="24"/>
        </w:rPr>
        <w:t>w okresie trwałości</w:t>
      </w:r>
      <w:r w:rsidR="0003732E" w:rsidRPr="00C30D1A">
        <w:rPr>
          <w:rFonts w:ascii="Times New Roman" w:hAnsi="Times New Roman" w:cs="Times New Roman"/>
          <w:sz w:val="24"/>
          <w:szCs w:val="24"/>
        </w:rPr>
        <w:t xml:space="preserve"> (</w:t>
      </w:r>
      <w:r w:rsidR="008D6516" w:rsidRPr="00C30D1A">
        <w:rPr>
          <w:rFonts w:ascii="Times New Roman" w:hAnsi="Times New Roman" w:cs="Times New Roman"/>
          <w:sz w:val="24"/>
          <w:szCs w:val="24"/>
        </w:rPr>
        <w:t>obniżenie o o</w:t>
      </w:r>
      <w:r w:rsidR="00CB3949" w:rsidRPr="00C30D1A">
        <w:rPr>
          <w:rFonts w:ascii="Times New Roman" w:hAnsi="Times New Roman" w:cs="Times New Roman"/>
          <w:sz w:val="24"/>
          <w:szCs w:val="24"/>
        </w:rPr>
        <w:t xml:space="preserve">k. 5,7 mln wobec szacunków na etapie wniosku o </w:t>
      </w:r>
      <w:r w:rsidR="005131AF" w:rsidRPr="00C30D1A">
        <w:rPr>
          <w:rFonts w:ascii="Times New Roman" w:hAnsi="Times New Roman" w:cs="Times New Roman"/>
          <w:sz w:val="24"/>
          <w:szCs w:val="24"/>
        </w:rPr>
        <w:t>dofinansowanie</w:t>
      </w:r>
      <w:r w:rsidR="00CB3949" w:rsidRPr="00C30D1A">
        <w:rPr>
          <w:rFonts w:ascii="Times New Roman" w:hAnsi="Times New Roman" w:cs="Times New Roman"/>
          <w:sz w:val="24"/>
          <w:szCs w:val="24"/>
        </w:rPr>
        <w:t>)</w:t>
      </w:r>
      <w:r w:rsidR="00885108">
        <w:rPr>
          <w:rFonts w:ascii="Times New Roman" w:hAnsi="Times New Roman" w:cs="Times New Roman"/>
          <w:sz w:val="24"/>
          <w:szCs w:val="24"/>
        </w:rPr>
        <w:t>.</w:t>
      </w:r>
    </w:p>
    <w:p w14:paraId="2B14D305" w14:textId="0FD723F5" w:rsidR="00A74DB3" w:rsidRPr="00467260" w:rsidRDefault="00031167" w:rsidP="009A1121">
      <w:pPr>
        <w:pStyle w:val="Akapitzlist"/>
        <w:numPr>
          <w:ilvl w:val="1"/>
          <w:numId w:val="1"/>
        </w:numPr>
        <w:rPr>
          <w:rFonts w:ascii="Times New Roman" w:hAnsi="Times New Roman" w:cs="Times New Roman"/>
          <w:b/>
          <w:bCs/>
        </w:rPr>
      </w:pPr>
      <w:r w:rsidRPr="00467260">
        <w:rPr>
          <w:rFonts w:ascii="Times New Roman" w:hAnsi="Times New Roman" w:cs="Times New Roman"/>
          <w:b/>
          <w:bCs/>
        </w:rPr>
        <w:t>Szacowane koszty w podziale na kategorie wydatków</w:t>
      </w:r>
    </w:p>
    <w:tbl>
      <w:tblPr>
        <w:tblStyle w:val="Tabela-Siatka"/>
        <w:tblW w:w="10632" w:type="dxa"/>
        <w:tblInd w:w="-714" w:type="dxa"/>
        <w:tblLayout w:type="fixed"/>
        <w:tblLook w:val="04A0" w:firstRow="1" w:lastRow="0" w:firstColumn="1" w:lastColumn="0" w:noHBand="0" w:noVBand="1"/>
      </w:tblPr>
      <w:tblGrid>
        <w:gridCol w:w="2333"/>
        <w:gridCol w:w="1353"/>
        <w:gridCol w:w="1276"/>
        <w:gridCol w:w="1417"/>
        <w:gridCol w:w="1418"/>
        <w:gridCol w:w="1417"/>
        <w:gridCol w:w="1418"/>
      </w:tblGrid>
      <w:tr w:rsidR="00A916EF" w:rsidRPr="00B9146C" w14:paraId="386226EF" w14:textId="77777777" w:rsidTr="00467260">
        <w:trPr>
          <w:trHeight w:val="576"/>
        </w:trPr>
        <w:tc>
          <w:tcPr>
            <w:tcW w:w="2333" w:type="dxa"/>
            <w:shd w:val="clear" w:color="auto" w:fill="DBDBDB" w:themeFill="accent3" w:themeFillTint="66"/>
            <w:vAlign w:val="center"/>
            <w:hideMark/>
          </w:tcPr>
          <w:p w14:paraId="1E5C040F" w14:textId="3E2E9411" w:rsidR="00487756" w:rsidRPr="00660601" w:rsidRDefault="00487756" w:rsidP="00660601">
            <w:pPr>
              <w:jc w:val="center"/>
              <w:rPr>
                <w:rFonts w:ascii="Times New Roman" w:hAnsi="Times New Roman" w:cs="Times New Roman"/>
                <w:b/>
                <w:bCs/>
                <w:sz w:val="20"/>
                <w:szCs w:val="20"/>
              </w:rPr>
            </w:pPr>
            <w:r w:rsidRPr="00660601">
              <w:rPr>
                <w:rFonts w:ascii="Times New Roman" w:hAnsi="Times New Roman" w:cs="Times New Roman"/>
                <w:b/>
                <w:bCs/>
                <w:sz w:val="20"/>
                <w:szCs w:val="20"/>
              </w:rPr>
              <w:t>Kategoria wydatków wg Umowy o dofinansowanie</w:t>
            </w:r>
          </w:p>
        </w:tc>
        <w:tc>
          <w:tcPr>
            <w:tcW w:w="1353" w:type="dxa"/>
            <w:shd w:val="clear" w:color="auto" w:fill="DBDBDB" w:themeFill="accent3" w:themeFillTint="66"/>
            <w:vAlign w:val="center"/>
            <w:hideMark/>
          </w:tcPr>
          <w:p w14:paraId="4B1467AD" w14:textId="72E43E31" w:rsidR="00487756" w:rsidRPr="00660601" w:rsidRDefault="00487756" w:rsidP="00660601">
            <w:pPr>
              <w:jc w:val="center"/>
              <w:rPr>
                <w:rFonts w:ascii="Times New Roman" w:hAnsi="Times New Roman" w:cs="Times New Roman"/>
                <w:b/>
                <w:bCs/>
                <w:sz w:val="20"/>
                <w:szCs w:val="20"/>
              </w:rPr>
            </w:pPr>
            <w:r w:rsidRPr="00660601">
              <w:rPr>
                <w:rFonts w:ascii="Times New Roman" w:hAnsi="Times New Roman" w:cs="Times New Roman"/>
                <w:b/>
                <w:bCs/>
                <w:sz w:val="20"/>
                <w:szCs w:val="20"/>
              </w:rPr>
              <w:t>2024 r.</w:t>
            </w:r>
          </w:p>
        </w:tc>
        <w:tc>
          <w:tcPr>
            <w:tcW w:w="1276" w:type="dxa"/>
            <w:shd w:val="clear" w:color="auto" w:fill="DBDBDB" w:themeFill="accent3" w:themeFillTint="66"/>
            <w:vAlign w:val="center"/>
          </w:tcPr>
          <w:p w14:paraId="68DA2279" w14:textId="0AE41D2E" w:rsidR="00487756" w:rsidRPr="00660601" w:rsidRDefault="00487756" w:rsidP="00660601">
            <w:pPr>
              <w:jc w:val="center"/>
              <w:rPr>
                <w:rFonts w:ascii="Times New Roman" w:hAnsi="Times New Roman" w:cs="Times New Roman"/>
                <w:b/>
                <w:bCs/>
                <w:sz w:val="20"/>
                <w:szCs w:val="20"/>
              </w:rPr>
            </w:pPr>
            <w:r w:rsidRPr="00660601">
              <w:rPr>
                <w:rFonts w:ascii="Times New Roman" w:hAnsi="Times New Roman" w:cs="Times New Roman"/>
                <w:b/>
                <w:bCs/>
                <w:sz w:val="20"/>
                <w:szCs w:val="20"/>
              </w:rPr>
              <w:t>2025 r.</w:t>
            </w:r>
          </w:p>
        </w:tc>
        <w:tc>
          <w:tcPr>
            <w:tcW w:w="1417" w:type="dxa"/>
            <w:shd w:val="clear" w:color="auto" w:fill="DBDBDB" w:themeFill="accent3" w:themeFillTint="66"/>
            <w:vAlign w:val="center"/>
          </w:tcPr>
          <w:p w14:paraId="136978DE" w14:textId="5304CE2B" w:rsidR="00487756" w:rsidRPr="00660601" w:rsidRDefault="00487756" w:rsidP="00660601">
            <w:pPr>
              <w:jc w:val="center"/>
              <w:rPr>
                <w:rFonts w:ascii="Times New Roman" w:hAnsi="Times New Roman" w:cs="Times New Roman"/>
                <w:b/>
                <w:bCs/>
                <w:sz w:val="20"/>
                <w:szCs w:val="20"/>
              </w:rPr>
            </w:pPr>
            <w:r w:rsidRPr="00660601">
              <w:rPr>
                <w:rFonts w:ascii="Times New Roman" w:hAnsi="Times New Roman" w:cs="Times New Roman"/>
                <w:b/>
                <w:bCs/>
                <w:sz w:val="20"/>
                <w:szCs w:val="20"/>
              </w:rPr>
              <w:t>2026 r.</w:t>
            </w:r>
          </w:p>
        </w:tc>
        <w:tc>
          <w:tcPr>
            <w:tcW w:w="1418" w:type="dxa"/>
            <w:shd w:val="clear" w:color="auto" w:fill="DBDBDB" w:themeFill="accent3" w:themeFillTint="66"/>
            <w:vAlign w:val="center"/>
          </w:tcPr>
          <w:p w14:paraId="504E8842" w14:textId="74817115" w:rsidR="00487756" w:rsidRPr="00660601" w:rsidRDefault="00487756" w:rsidP="00660601">
            <w:pPr>
              <w:jc w:val="center"/>
              <w:rPr>
                <w:rFonts w:ascii="Times New Roman" w:hAnsi="Times New Roman" w:cs="Times New Roman"/>
                <w:b/>
                <w:bCs/>
                <w:sz w:val="20"/>
                <w:szCs w:val="20"/>
              </w:rPr>
            </w:pPr>
            <w:r w:rsidRPr="00660601">
              <w:rPr>
                <w:rFonts w:ascii="Times New Roman" w:hAnsi="Times New Roman" w:cs="Times New Roman"/>
                <w:b/>
                <w:bCs/>
                <w:sz w:val="20"/>
                <w:szCs w:val="20"/>
              </w:rPr>
              <w:t>2027 r.</w:t>
            </w:r>
          </w:p>
        </w:tc>
        <w:tc>
          <w:tcPr>
            <w:tcW w:w="1417" w:type="dxa"/>
            <w:shd w:val="clear" w:color="auto" w:fill="DBDBDB" w:themeFill="accent3" w:themeFillTint="66"/>
            <w:vAlign w:val="center"/>
          </w:tcPr>
          <w:p w14:paraId="6FCE1AE0" w14:textId="1E9825F1" w:rsidR="00487756" w:rsidRPr="00660601" w:rsidRDefault="00487756" w:rsidP="00660601">
            <w:pPr>
              <w:jc w:val="center"/>
              <w:rPr>
                <w:rFonts w:ascii="Times New Roman" w:hAnsi="Times New Roman" w:cs="Times New Roman"/>
                <w:b/>
                <w:bCs/>
                <w:sz w:val="20"/>
                <w:szCs w:val="20"/>
              </w:rPr>
            </w:pPr>
            <w:r w:rsidRPr="00660601">
              <w:rPr>
                <w:rFonts w:ascii="Times New Roman" w:hAnsi="Times New Roman" w:cs="Times New Roman"/>
                <w:b/>
                <w:bCs/>
                <w:sz w:val="20"/>
                <w:szCs w:val="20"/>
              </w:rPr>
              <w:t>2028 r.</w:t>
            </w:r>
          </w:p>
        </w:tc>
        <w:tc>
          <w:tcPr>
            <w:tcW w:w="1418" w:type="dxa"/>
            <w:shd w:val="clear" w:color="auto" w:fill="A6A6A6" w:themeFill="background1" w:themeFillShade="A6"/>
            <w:vAlign w:val="center"/>
          </w:tcPr>
          <w:p w14:paraId="50E9E77A" w14:textId="3E671B10" w:rsidR="00487756" w:rsidRPr="00660601" w:rsidRDefault="00487756" w:rsidP="00660601">
            <w:pPr>
              <w:jc w:val="center"/>
              <w:rPr>
                <w:rFonts w:ascii="Times New Roman" w:hAnsi="Times New Roman" w:cs="Times New Roman"/>
                <w:b/>
                <w:bCs/>
                <w:color w:val="FFFFFF" w:themeColor="background1"/>
                <w:sz w:val="20"/>
                <w:szCs w:val="20"/>
              </w:rPr>
            </w:pPr>
            <w:r w:rsidRPr="00660601">
              <w:rPr>
                <w:rFonts w:ascii="Times New Roman" w:hAnsi="Times New Roman" w:cs="Times New Roman"/>
                <w:b/>
                <w:bCs/>
                <w:color w:val="FFFFFF" w:themeColor="background1"/>
                <w:sz w:val="20"/>
                <w:szCs w:val="20"/>
              </w:rPr>
              <w:t>2024-2028</w:t>
            </w:r>
          </w:p>
        </w:tc>
      </w:tr>
      <w:tr w:rsidR="00A916EF" w:rsidRPr="00B9146C" w14:paraId="65E56DA9" w14:textId="77777777" w:rsidTr="00467260">
        <w:trPr>
          <w:trHeight w:val="288"/>
        </w:trPr>
        <w:tc>
          <w:tcPr>
            <w:tcW w:w="2333" w:type="dxa"/>
            <w:shd w:val="clear" w:color="auto" w:fill="DBDBDB" w:themeFill="accent3" w:themeFillTint="66"/>
            <w:vAlign w:val="center"/>
            <w:hideMark/>
          </w:tcPr>
          <w:p w14:paraId="287C8314" w14:textId="77777777" w:rsidR="00487756" w:rsidRPr="00660601" w:rsidRDefault="00487756" w:rsidP="00660601">
            <w:pPr>
              <w:rPr>
                <w:rFonts w:ascii="Times New Roman" w:hAnsi="Times New Roman" w:cs="Times New Roman"/>
                <w:b/>
                <w:bCs/>
                <w:sz w:val="20"/>
                <w:szCs w:val="20"/>
              </w:rPr>
            </w:pPr>
            <w:r w:rsidRPr="00660601">
              <w:rPr>
                <w:rFonts w:ascii="Times New Roman" w:hAnsi="Times New Roman" w:cs="Times New Roman"/>
                <w:b/>
                <w:bCs/>
                <w:sz w:val="20"/>
                <w:szCs w:val="20"/>
              </w:rPr>
              <w:t>Informacje i promocja</w:t>
            </w:r>
          </w:p>
        </w:tc>
        <w:tc>
          <w:tcPr>
            <w:tcW w:w="1353" w:type="dxa"/>
            <w:vAlign w:val="center"/>
          </w:tcPr>
          <w:p w14:paraId="4BBD7174" w14:textId="6D9AB276" w:rsidR="00487756" w:rsidRPr="00467260" w:rsidRDefault="00487756" w:rsidP="00660601">
            <w:pPr>
              <w:jc w:val="center"/>
              <w:rPr>
                <w:rFonts w:ascii="Times New Roman" w:hAnsi="Times New Roman" w:cs="Times New Roman"/>
                <w:sz w:val="20"/>
                <w:szCs w:val="20"/>
              </w:rPr>
            </w:pPr>
            <w:r w:rsidRPr="00467260">
              <w:rPr>
                <w:rFonts w:ascii="Times New Roman" w:hAnsi="Times New Roman" w:cs="Times New Roman"/>
                <w:sz w:val="20"/>
                <w:szCs w:val="20"/>
              </w:rPr>
              <w:t>0</w:t>
            </w:r>
            <w:r w:rsidR="0042275D">
              <w:rPr>
                <w:rFonts w:ascii="Times New Roman" w:hAnsi="Times New Roman" w:cs="Times New Roman"/>
                <w:sz w:val="20"/>
                <w:szCs w:val="20"/>
              </w:rPr>
              <w:t>,00</w:t>
            </w:r>
          </w:p>
        </w:tc>
        <w:tc>
          <w:tcPr>
            <w:tcW w:w="1276" w:type="dxa"/>
            <w:vAlign w:val="center"/>
          </w:tcPr>
          <w:p w14:paraId="3DB64B27" w14:textId="3B2E8EAE" w:rsidR="00487756" w:rsidRPr="00467260" w:rsidRDefault="00487756" w:rsidP="00660601">
            <w:pPr>
              <w:jc w:val="center"/>
              <w:rPr>
                <w:rFonts w:ascii="Times New Roman" w:hAnsi="Times New Roman" w:cs="Times New Roman"/>
                <w:sz w:val="20"/>
                <w:szCs w:val="20"/>
              </w:rPr>
            </w:pPr>
            <w:r w:rsidRPr="00467260">
              <w:rPr>
                <w:rFonts w:ascii="Times New Roman" w:hAnsi="Times New Roman" w:cs="Times New Roman"/>
                <w:sz w:val="20"/>
                <w:szCs w:val="20"/>
              </w:rPr>
              <w:t>0</w:t>
            </w:r>
            <w:r w:rsidR="0042275D">
              <w:rPr>
                <w:rFonts w:ascii="Times New Roman" w:hAnsi="Times New Roman" w:cs="Times New Roman"/>
                <w:sz w:val="20"/>
                <w:szCs w:val="20"/>
              </w:rPr>
              <w:t>,00</w:t>
            </w:r>
          </w:p>
        </w:tc>
        <w:tc>
          <w:tcPr>
            <w:tcW w:w="1417" w:type="dxa"/>
            <w:vAlign w:val="center"/>
          </w:tcPr>
          <w:p w14:paraId="156DF31C" w14:textId="1F17121C" w:rsidR="00487756" w:rsidRPr="00467260" w:rsidRDefault="00487756" w:rsidP="00660601">
            <w:pPr>
              <w:jc w:val="center"/>
              <w:rPr>
                <w:rFonts w:ascii="Times New Roman" w:hAnsi="Times New Roman" w:cs="Times New Roman"/>
                <w:sz w:val="20"/>
                <w:szCs w:val="20"/>
              </w:rPr>
            </w:pPr>
            <w:r w:rsidRPr="00467260">
              <w:rPr>
                <w:rFonts w:ascii="Times New Roman" w:hAnsi="Times New Roman" w:cs="Times New Roman"/>
                <w:sz w:val="20"/>
                <w:szCs w:val="20"/>
              </w:rPr>
              <w:t>0</w:t>
            </w:r>
            <w:r w:rsidR="0042275D">
              <w:rPr>
                <w:rFonts w:ascii="Times New Roman" w:hAnsi="Times New Roman" w:cs="Times New Roman"/>
                <w:sz w:val="20"/>
                <w:szCs w:val="20"/>
              </w:rPr>
              <w:t>,00</w:t>
            </w:r>
          </w:p>
        </w:tc>
        <w:tc>
          <w:tcPr>
            <w:tcW w:w="1418" w:type="dxa"/>
            <w:vAlign w:val="center"/>
          </w:tcPr>
          <w:p w14:paraId="361427C7" w14:textId="2DBB5A52" w:rsidR="00487756" w:rsidRPr="00467260" w:rsidRDefault="00487756" w:rsidP="00660601">
            <w:pPr>
              <w:jc w:val="center"/>
              <w:rPr>
                <w:rFonts w:ascii="Times New Roman" w:hAnsi="Times New Roman" w:cs="Times New Roman"/>
                <w:sz w:val="20"/>
                <w:szCs w:val="20"/>
              </w:rPr>
            </w:pPr>
            <w:r w:rsidRPr="00467260">
              <w:rPr>
                <w:rFonts w:ascii="Times New Roman" w:hAnsi="Times New Roman" w:cs="Times New Roman"/>
                <w:sz w:val="20"/>
                <w:szCs w:val="20"/>
              </w:rPr>
              <w:t>0</w:t>
            </w:r>
            <w:r w:rsidR="0042275D">
              <w:rPr>
                <w:rFonts w:ascii="Times New Roman" w:hAnsi="Times New Roman" w:cs="Times New Roman"/>
                <w:sz w:val="20"/>
                <w:szCs w:val="20"/>
              </w:rPr>
              <w:t>,00</w:t>
            </w:r>
          </w:p>
        </w:tc>
        <w:tc>
          <w:tcPr>
            <w:tcW w:w="1417" w:type="dxa"/>
            <w:vAlign w:val="center"/>
          </w:tcPr>
          <w:p w14:paraId="3E46D662" w14:textId="6AF4F6C7" w:rsidR="00487756" w:rsidRPr="00467260" w:rsidRDefault="00487756" w:rsidP="00660601">
            <w:pPr>
              <w:jc w:val="center"/>
              <w:rPr>
                <w:rFonts w:ascii="Times New Roman" w:hAnsi="Times New Roman" w:cs="Times New Roman"/>
                <w:sz w:val="20"/>
                <w:szCs w:val="20"/>
              </w:rPr>
            </w:pPr>
            <w:r w:rsidRPr="00467260">
              <w:rPr>
                <w:rFonts w:ascii="Times New Roman" w:hAnsi="Times New Roman" w:cs="Times New Roman"/>
                <w:sz w:val="20"/>
                <w:szCs w:val="20"/>
              </w:rPr>
              <w:t>0</w:t>
            </w:r>
            <w:r w:rsidR="0042275D">
              <w:rPr>
                <w:rFonts w:ascii="Times New Roman" w:hAnsi="Times New Roman" w:cs="Times New Roman"/>
                <w:sz w:val="20"/>
                <w:szCs w:val="20"/>
              </w:rPr>
              <w:t>,00</w:t>
            </w:r>
          </w:p>
        </w:tc>
        <w:tc>
          <w:tcPr>
            <w:tcW w:w="1418" w:type="dxa"/>
            <w:shd w:val="clear" w:color="auto" w:fill="A6A6A6" w:themeFill="background1" w:themeFillShade="A6"/>
            <w:vAlign w:val="center"/>
          </w:tcPr>
          <w:p w14:paraId="3E9B4651" w14:textId="34BC2607" w:rsidR="00487756" w:rsidRPr="00660601" w:rsidRDefault="00487756" w:rsidP="00660601">
            <w:pPr>
              <w:jc w:val="center"/>
              <w:rPr>
                <w:rFonts w:ascii="Times New Roman" w:hAnsi="Times New Roman" w:cs="Times New Roman"/>
                <w:b/>
                <w:bCs/>
                <w:color w:val="FFFFFF" w:themeColor="background1"/>
                <w:sz w:val="20"/>
                <w:szCs w:val="20"/>
              </w:rPr>
            </w:pPr>
            <w:r w:rsidRPr="00660601">
              <w:rPr>
                <w:rFonts w:ascii="Times New Roman" w:hAnsi="Times New Roman" w:cs="Times New Roman"/>
                <w:b/>
                <w:bCs/>
                <w:color w:val="FFFFFF" w:themeColor="background1"/>
                <w:sz w:val="20"/>
                <w:szCs w:val="20"/>
              </w:rPr>
              <w:t>0</w:t>
            </w:r>
            <w:r w:rsidR="0042275D">
              <w:rPr>
                <w:rFonts w:ascii="Times New Roman" w:hAnsi="Times New Roman" w:cs="Times New Roman"/>
                <w:b/>
                <w:bCs/>
                <w:color w:val="FFFFFF" w:themeColor="background1"/>
                <w:sz w:val="20"/>
                <w:szCs w:val="20"/>
              </w:rPr>
              <w:t>,00</w:t>
            </w:r>
          </w:p>
        </w:tc>
      </w:tr>
      <w:tr w:rsidR="00A916EF" w:rsidRPr="00B9146C" w14:paraId="281553B9" w14:textId="77777777" w:rsidTr="00467260">
        <w:trPr>
          <w:trHeight w:val="288"/>
        </w:trPr>
        <w:tc>
          <w:tcPr>
            <w:tcW w:w="2333" w:type="dxa"/>
            <w:shd w:val="clear" w:color="auto" w:fill="DBDBDB" w:themeFill="accent3" w:themeFillTint="66"/>
            <w:vAlign w:val="center"/>
            <w:hideMark/>
          </w:tcPr>
          <w:p w14:paraId="2DACDD3D" w14:textId="77777777" w:rsidR="00487756" w:rsidRPr="00660601" w:rsidRDefault="00487756" w:rsidP="00660601">
            <w:pPr>
              <w:rPr>
                <w:rFonts w:ascii="Times New Roman" w:hAnsi="Times New Roman" w:cs="Times New Roman"/>
                <w:b/>
                <w:bCs/>
                <w:sz w:val="20"/>
                <w:szCs w:val="20"/>
              </w:rPr>
            </w:pPr>
            <w:r w:rsidRPr="00660601">
              <w:rPr>
                <w:rFonts w:ascii="Times New Roman" w:hAnsi="Times New Roman" w:cs="Times New Roman"/>
                <w:b/>
                <w:bCs/>
                <w:sz w:val="20"/>
                <w:szCs w:val="20"/>
              </w:rPr>
              <w:t>Oprogramowanie</w:t>
            </w:r>
          </w:p>
        </w:tc>
        <w:tc>
          <w:tcPr>
            <w:tcW w:w="1353" w:type="dxa"/>
            <w:vAlign w:val="center"/>
            <w:hideMark/>
          </w:tcPr>
          <w:p w14:paraId="5BB035C4" w14:textId="3BDDFF10" w:rsidR="00487756" w:rsidRPr="00467260" w:rsidRDefault="00A916EF" w:rsidP="00660601">
            <w:pPr>
              <w:jc w:val="center"/>
              <w:rPr>
                <w:rFonts w:ascii="Times New Roman" w:hAnsi="Times New Roman" w:cs="Times New Roman"/>
                <w:sz w:val="20"/>
                <w:szCs w:val="20"/>
              </w:rPr>
            </w:pPr>
            <w:r w:rsidRPr="00467260">
              <w:rPr>
                <w:rFonts w:ascii="Times New Roman" w:hAnsi="Times New Roman" w:cs="Times New Roman"/>
                <w:sz w:val="20"/>
                <w:szCs w:val="20"/>
              </w:rPr>
              <w:t>105 000,00</w:t>
            </w:r>
          </w:p>
        </w:tc>
        <w:tc>
          <w:tcPr>
            <w:tcW w:w="1276" w:type="dxa"/>
            <w:vAlign w:val="center"/>
            <w:hideMark/>
          </w:tcPr>
          <w:p w14:paraId="120B7A6B" w14:textId="4E8ED9F6" w:rsidR="00487756" w:rsidRPr="00467260" w:rsidRDefault="00A916EF" w:rsidP="00660601">
            <w:pPr>
              <w:jc w:val="center"/>
              <w:rPr>
                <w:rFonts w:ascii="Times New Roman" w:hAnsi="Times New Roman" w:cs="Times New Roman"/>
                <w:sz w:val="20"/>
                <w:szCs w:val="20"/>
              </w:rPr>
            </w:pPr>
            <w:r w:rsidRPr="00467260">
              <w:rPr>
                <w:rFonts w:ascii="Times New Roman" w:hAnsi="Times New Roman" w:cs="Times New Roman"/>
                <w:sz w:val="20"/>
                <w:szCs w:val="20"/>
              </w:rPr>
              <w:t>105 000,00</w:t>
            </w:r>
          </w:p>
        </w:tc>
        <w:tc>
          <w:tcPr>
            <w:tcW w:w="1417" w:type="dxa"/>
            <w:vAlign w:val="center"/>
            <w:hideMark/>
          </w:tcPr>
          <w:p w14:paraId="5D642905" w14:textId="594C8157" w:rsidR="00487756" w:rsidRPr="00467260" w:rsidRDefault="00A916EF" w:rsidP="00660601">
            <w:pPr>
              <w:jc w:val="center"/>
              <w:rPr>
                <w:rFonts w:ascii="Times New Roman" w:hAnsi="Times New Roman" w:cs="Times New Roman"/>
                <w:sz w:val="20"/>
                <w:szCs w:val="20"/>
              </w:rPr>
            </w:pPr>
            <w:r w:rsidRPr="00467260">
              <w:rPr>
                <w:rFonts w:ascii="Times New Roman" w:hAnsi="Times New Roman" w:cs="Times New Roman"/>
                <w:sz w:val="20"/>
                <w:szCs w:val="20"/>
              </w:rPr>
              <w:t>107 500,00</w:t>
            </w:r>
          </w:p>
        </w:tc>
        <w:tc>
          <w:tcPr>
            <w:tcW w:w="1418" w:type="dxa"/>
            <w:vAlign w:val="center"/>
            <w:hideMark/>
          </w:tcPr>
          <w:p w14:paraId="66868FF6" w14:textId="670AD1AD" w:rsidR="00487756" w:rsidRPr="00467260" w:rsidRDefault="00A916EF" w:rsidP="00660601">
            <w:pPr>
              <w:jc w:val="center"/>
              <w:rPr>
                <w:rFonts w:ascii="Times New Roman" w:hAnsi="Times New Roman" w:cs="Times New Roman"/>
                <w:sz w:val="20"/>
                <w:szCs w:val="20"/>
              </w:rPr>
            </w:pPr>
            <w:r w:rsidRPr="00467260">
              <w:rPr>
                <w:rFonts w:ascii="Times New Roman" w:hAnsi="Times New Roman" w:cs="Times New Roman"/>
                <w:sz w:val="20"/>
                <w:szCs w:val="20"/>
              </w:rPr>
              <w:t>112 500,00</w:t>
            </w:r>
          </w:p>
        </w:tc>
        <w:tc>
          <w:tcPr>
            <w:tcW w:w="1417" w:type="dxa"/>
            <w:vAlign w:val="center"/>
            <w:hideMark/>
          </w:tcPr>
          <w:p w14:paraId="534DC6D4" w14:textId="251AC958" w:rsidR="00487756" w:rsidRPr="00467260" w:rsidRDefault="00A916EF" w:rsidP="00660601">
            <w:pPr>
              <w:jc w:val="center"/>
              <w:rPr>
                <w:rFonts w:ascii="Times New Roman" w:hAnsi="Times New Roman" w:cs="Times New Roman"/>
                <w:sz w:val="20"/>
                <w:szCs w:val="20"/>
              </w:rPr>
            </w:pPr>
            <w:r w:rsidRPr="00467260">
              <w:rPr>
                <w:rFonts w:ascii="Times New Roman" w:hAnsi="Times New Roman" w:cs="Times New Roman"/>
                <w:sz w:val="20"/>
                <w:szCs w:val="20"/>
              </w:rPr>
              <w:t>120 000,00</w:t>
            </w:r>
          </w:p>
        </w:tc>
        <w:tc>
          <w:tcPr>
            <w:tcW w:w="1418" w:type="dxa"/>
            <w:shd w:val="clear" w:color="auto" w:fill="A6A6A6" w:themeFill="background1" w:themeFillShade="A6"/>
            <w:vAlign w:val="center"/>
            <w:hideMark/>
          </w:tcPr>
          <w:p w14:paraId="69D19385" w14:textId="0FAAF33D" w:rsidR="00487756" w:rsidRPr="00660601" w:rsidRDefault="00B80FF0" w:rsidP="00660601">
            <w:pPr>
              <w:jc w:val="center"/>
              <w:rPr>
                <w:rFonts w:ascii="Times New Roman" w:hAnsi="Times New Roman" w:cs="Times New Roman"/>
                <w:b/>
                <w:bCs/>
                <w:color w:val="FFFFFF" w:themeColor="background1"/>
                <w:sz w:val="20"/>
                <w:szCs w:val="20"/>
              </w:rPr>
            </w:pPr>
            <w:r>
              <w:rPr>
                <w:rFonts w:ascii="Times New Roman" w:hAnsi="Times New Roman" w:cs="Times New Roman"/>
                <w:b/>
                <w:bCs/>
                <w:color w:val="FFFFFF" w:themeColor="background1"/>
                <w:sz w:val="20"/>
                <w:szCs w:val="20"/>
              </w:rPr>
              <w:t>550 000,00</w:t>
            </w:r>
          </w:p>
        </w:tc>
      </w:tr>
      <w:tr w:rsidR="00A916EF" w:rsidRPr="00B9146C" w14:paraId="312539EC" w14:textId="77777777" w:rsidTr="00467260">
        <w:trPr>
          <w:trHeight w:val="288"/>
        </w:trPr>
        <w:tc>
          <w:tcPr>
            <w:tcW w:w="2333" w:type="dxa"/>
            <w:shd w:val="clear" w:color="auto" w:fill="DBDBDB" w:themeFill="accent3" w:themeFillTint="66"/>
            <w:vAlign w:val="center"/>
            <w:hideMark/>
          </w:tcPr>
          <w:p w14:paraId="5539A417" w14:textId="7303BC25" w:rsidR="00255425" w:rsidRPr="00660601" w:rsidRDefault="00255425" w:rsidP="00660601">
            <w:pPr>
              <w:rPr>
                <w:rFonts w:ascii="Times New Roman" w:hAnsi="Times New Roman" w:cs="Times New Roman"/>
                <w:b/>
                <w:bCs/>
                <w:sz w:val="20"/>
                <w:szCs w:val="20"/>
              </w:rPr>
            </w:pPr>
            <w:r w:rsidRPr="00660601">
              <w:rPr>
                <w:rFonts w:ascii="Times New Roman" w:hAnsi="Times New Roman" w:cs="Times New Roman"/>
                <w:b/>
                <w:bCs/>
                <w:sz w:val="20"/>
                <w:szCs w:val="20"/>
              </w:rPr>
              <w:t>Przygotowanie projektu</w:t>
            </w:r>
          </w:p>
        </w:tc>
        <w:tc>
          <w:tcPr>
            <w:tcW w:w="1353" w:type="dxa"/>
            <w:vAlign w:val="center"/>
            <w:hideMark/>
          </w:tcPr>
          <w:p w14:paraId="1F58F5ED" w14:textId="15D2DB4F" w:rsidR="00255425" w:rsidRPr="00467260" w:rsidRDefault="00255425" w:rsidP="00660601">
            <w:pPr>
              <w:jc w:val="center"/>
              <w:rPr>
                <w:rFonts w:ascii="Times New Roman" w:hAnsi="Times New Roman" w:cs="Times New Roman"/>
                <w:sz w:val="20"/>
                <w:szCs w:val="20"/>
              </w:rPr>
            </w:pPr>
            <w:r w:rsidRPr="00467260">
              <w:rPr>
                <w:rFonts w:ascii="Times New Roman" w:hAnsi="Times New Roman" w:cs="Times New Roman"/>
                <w:sz w:val="20"/>
                <w:szCs w:val="20"/>
              </w:rPr>
              <w:t>0</w:t>
            </w:r>
            <w:r w:rsidR="0042275D">
              <w:rPr>
                <w:rFonts w:ascii="Times New Roman" w:hAnsi="Times New Roman" w:cs="Times New Roman"/>
                <w:sz w:val="20"/>
                <w:szCs w:val="20"/>
              </w:rPr>
              <w:t>,00</w:t>
            </w:r>
          </w:p>
        </w:tc>
        <w:tc>
          <w:tcPr>
            <w:tcW w:w="1276" w:type="dxa"/>
            <w:vAlign w:val="center"/>
            <w:hideMark/>
          </w:tcPr>
          <w:p w14:paraId="32DF4A55" w14:textId="579B4DA6" w:rsidR="00255425" w:rsidRPr="00467260" w:rsidRDefault="00255425" w:rsidP="00660601">
            <w:pPr>
              <w:jc w:val="center"/>
              <w:rPr>
                <w:rFonts w:ascii="Times New Roman" w:hAnsi="Times New Roman" w:cs="Times New Roman"/>
                <w:sz w:val="20"/>
                <w:szCs w:val="20"/>
              </w:rPr>
            </w:pPr>
            <w:r w:rsidRPr="00467260">
              <w:rPr>
                <w:rFonts w:ascii="Times New Roman" w:hAnsi="Times New Roman" w:cs="Times New Roman"/>
                <w:sz w:val="20"/>
                <w:szCs w:val="20"/>
              </w:rPr>
              <w:t>0</w:t>
            </w:r>
            <w:r w:rsidR="0042275D">
              <w:rPr>
                <w:rFonts w:ascii="Times New Roman" w:hAnsi="Times New Roman" w:cs="Times New Roman"/>
                <w:sz w:val="20"/>
                <w:szCs w:val="20"/>
              </w:rPr>
              <w:t>,00</w:t>
            </w:r>
          </w:p>
        </w:tc>
        <w:tc>
          <w:tcPr>
            <w:tcW w:w="1417" w:type="dxa"/>
            <w:vAlign w:val="center"/>
            <w:hideMark/>
          </w:tcPr>
          <w:p w14:paraId="3B33726D" w14:textId="35C37227" w:rsidR="00255425" w:rsidRPr="00467260" w:rsidRDefault="00255425" w:rsidP="00660601">
            <w:pPr>
              <w:jc w:val="center"/>
              <w:rPr>
                <w:rFonts w:ascii="Times New Roman" w:hAnsi="Times New Roman" w:cs="Times New Roman"/>
                <w:sz w:val="20"/>
                <w:szCs w:val="20"/>
              </w:rPr>
            </w:pPr>
            <w:r w:rsidRPr="00467260">
              <w:rPr>
                <w:rFonts w:ascii="Times New Roman" w:hAnsi="Times New Roman" w:cs="Times New Roman"/>
                <w:sz w:val="20"/>
                <w:szCs w:val="20"/>
              </w:rPr>
              <w:t>0</w:t>
            </w:r>
            <w:r w:rsidR="0042275D">
              <w:rPr>
                <w:rFonts w:ascii="Times New Roman" w:hAnsi="Times New Roman" w:cs="Times New Roman"/>
                <w:sz w:val="20"/>
                <w:szCs w:val="20"/>
              </w:rPr>
              <w:t>,00</w:t>
            </w:r>
          </w:p>
        </w:tc>
        <w:tc>
          <w:tcPr>
            <w:tcW w:w="1418" w:type="dxa"/>
            <w:vAlign w:val="center"/>
            <w:hideMark/>
          </w:tcPr>
          <w:p w14:paraId="3FB98761" w14:textId="027D0DD0" w:rsidR="00255425" w:rsidRPr="00467260" w:rsidRDefault="00255425" w:rsidP="00660601">
            <w:pPr>
              <w:jc w:val="center"/>
              <w:rPr>
                <w:rFonts w:ascii="Times New Roman" w:hAnsi="Times New Roman" w:cs="Times New Roman"/>
                <w:sz w:val="20"/>
                <w:szCs w:val="20"/>
              </w:rPr>
            </w:pPr>
            <w:r w:rsidRPr="00467260">
              <w:rPr>
                <w:rFonts w:ascii="Times New Roman" w:hAnsi="Times New Roman" w:cs="Times New Roman"/>
                <w:sz w:val="20"/>
                <w:szCs w:val="20"/>
              </w:rPr>
              <w:t>0</w:t>
            </w:r>
            <w:r w:rsidR="0042275D">
              <w:rPr>
                <w:rFonts w:ascii="Times New Roman" w:hAnsi="Times New Roman" w:cs="Times New Roman"/>
                <w:sz w:val="20"/>
                <w:szCs w:val="20"/>
              </w:rPr>
              <w:t>,00</w:t>
            </w:r>
          </w:p>
        </w:tc>
        <w:tc>
          <w:tcPr>
            <w:tcW w:w="1417" w:type="dxa"/>
            <w:vAlign w:val="center"/>
            <w:hideMark/>
          </w:tcPr>
          <w:p w14:paraId="4B8B6E87" w14:textId="51C9CF90" w:rsidR="00255425" w:rsidRPr="00467260" w:rsidRDefault="00255425" w:rsidP="00660601">
            <w:pPr>
              <w:jc w:val="center"/>
              <w:rPr>
                <w:rFonts w:ascii="Times New Roman" w:hAnsi="Times New Roman" w:cs="Times New Roman"/>
                <w:sz w:val="20"/>
                <w:szCs w:val="20"/>
              </w:rPr>
            </w:pPr>
            <w:r w:rsidRPr="00467260">
              <w:rPr>
                <w:rFonts w:ascii="Times New Roman" w:hAnsi="Times New Roman" w:cs="Times New Roman"/>
                <w:sz w:val="20"/>
                <w:szCs w:val="20"/>
              </w:rPr>
              <w:t>0</w:t>
            </w:r>
            <w:r w:rsidR="0042275D">
              <w:rPr>
                <w:rFonts w:ascii="Times New Roman" w:hAnsi="Times New Roman" w:cs="Times New Roman"/>
                <w:sz w:val="20"/>
                <w:szCs w:val="20"/>
              </w:rPr>
              <w:t>,00</w:t>
            </w:r>
          </w:p>
        </w:tc>
        <w:tc>
          <w:tcPr>
            <w:tcW w:w="1418" w:type="dxa"/>
            <w:shd w:val="clear" w:color="auto" w:fill="A6A6A6" w:themeFill="background1" w:themeFillShade="A6"/>
            <w:vAlign w:val="center"/>
            <w:hideMark/>
          </w:tcPr>
          <w:p w14:paraId="3F1C0629" w14:textId="46BE5707" w:rsidR="00255425" w:rsidRPr="00660601" w:rsidRDefault="00255425" w:rsidP="00660601">
            <w:pPr>
              <w:jc w:val="center"/>
              <w:rPr>
                <w:rFonts w:ascii="Times New Roman" w:hAnsi="Times New Roman" w:cs="Times New Roman"/>
                <w:b/>
                <w:bCs/>
                <w:color w:val="FFFFFF" w:themeColor="background1"/>
                <w:sz w:val="20"/>
                <w:szCs w:val="20"/>
              </w:rPr>
            </w:pPr>
            <w:r w:rsidRPr="00660601">
              <w:rPr>
                <w:rFonts w:ascii="Times New Roman" w:hAnsi="Times New Roman" w:cs="Times New Roman"/>
                <w:b/>
                <w:bCs/>
                <w:color w:val="FFFFFF" w:themeColor="background1"/>
                <w:sz w:val="20"/>
                <w:szCs w:val="20"/>
              </w:rPr>
              <w:t>0</w:t>
            </w:r>
            <w:r w:rsidR="0042275D">
              <w:rPr>
                <w:rFonts w:ascii="Times New Roman" w:hAnsi="Times New Roman" w:cs="Times New Roman"/>
                <w:b/>
                <w:bCs/>
                <w:color w:val="FFFFFF" w:themeColor="background1"/>
                <w:sz w:val="20"/>
                <w:szCs w:val="20"/>
              </w:rPr>
              <w:t>,00</w:t>
            </w:r>
          </w:p>
        </w:tc>
      </w:tr>
      <w:tr w:rsidR="00A916EF" w:rsidRPr="00B9146C" w14:paraId="0DCADCFD" w14:textId="77777777" w:rsidTr="00467260">
        <w:trPr>
          <w:trHeight w:val="288"/>
        </w:trPr>
        <w:tc>
          <w:tcPr>
            <w:tcW w:w="2333" w:type="dxa"/>
            <w:shd w:val="clear" w:color="auto" w:fill="DBDBDB" w:themeFill="accent3" w:themeFillTint="66"/>
            <w:vAlign w:val="center"/>
            <w:hideMark/>
          </w:tcPr>
          <w:p w14:paraId="7C2BE334" w14:textId="77777777" w:rsidR="00255425" w:rsidRPr="00660601" w:rsidRDefault="00255425" w:rsidP="00660601">
            <w:pPr>
              <w:rPr>
                <w:rFonts w:ascii="Times New Roman" w:hAnsi="Times New Roman" w:cs="Times New Roman"/>
                <w:b/>
                <w:bCs/>
                <w:sz w:val="20"/>
                <w:szCs w:val="20"/>
              </w:rPr>
            </w:pPr>
            <w:r w:rsidRPr="00660601">
              <w:rPr>
                <w:rFonts w:ascii="Times New Roman" w:hAnsi="Times New Roman" w:cs="Times New Roman"/>
                <w:b/>
                <w:bCs/>
                <w:sz w:val="20"/>
                <w:szCs w:val="20"/>
              </w:rPr>
              <w:t>Roboty budowlane</w:t>
            </w:r>
          </w:p>
        </w:tc>
        <w:tc>
          <w:tcPr>
            <w:tcW w:w="1353" w:type="dxa"/>
            <w:vAlign w:val="center"/>
            <w:hideMark/>
          </w:tcPr>
          <w:p w14:paraId="3AB8453E" w14:textId="27A5E675" w:rsidR="00255425" w:rsidRPr="00467260" w:rsidRDefault="00255425" w:rsidP="00660601">
            <w:pPr>
              <w:jc w:val="center"/>
              <w:rPr>
                <w:rFonts w:ascii="Times New Roman" w:hAnsi="Times New Roman" w:cs="Times New Roman"/>
                <w:sz w:val="20"/>
                <w:szCs w:val="20"/>
              </w:rPr>
            </w:pPr>
            <w:r w:rsidRPr="00467260">
              <w:rPr>
                <w:rFonts w:ascii="Times New Roman" w:hAnsi="Times New Roman" w:cs="Times New Roman"/>
                <w:sz w:val="20"/>
                <w:szCs w:val="20"/>
              </w:rPr>
              <w:t>0</w:t>
            </w:r>
            <w:r w:rsidR="008D2042">
              <w:rPr>
                <w:rFonts w:ascii="Times New Roman" w:hAnsi="Times New Roman" w:cs="Times New Roman"/>
                <w:sz w:val="20"/>
                <w:szCs w:val="20"/>
              </w:rPr>
              <w:t>,00</w:t>
            </w:r>
          </w:p>
        </w:tc>
        <w:tc>
          <w:tcPr>
            <w:tcW w:w="1276" w:type="dxa"/>
            <w:vAlign w:val="center"/>
            <w:hideMark/>
          </w:tcPr>
          <w:p w14:paraId="4A451F09" w14:textId="3D0813A8" w:rsidR="00255425" w:rsidRPr="00467260" w:rsidRDefault="00255425" w:rsidP="00660601">
            <w:pPr>
              <w:jc w:val="center"/>
              <w:rPr>
                <w:rFonts w:ascii="Times New Roman" w:hAnsi="Times New Roman" w:cs="Times New Roman"/>
                <w:sz w:val="20"/>
                <w:szCs w:val="20"/>
              </w:rPr>
            </w:pPr>
            <w:r w:rsidRPr="00467260">
              <w:rPr>
                <w:rFonts w:ascii="Times New Roman" w:hAnsi="Times New Roman" w:cs="Times New Roman"/>
                <w:sz w:val="20"/>
                <w:szCs w:val="20"/>
              </w:rPr>
              <w:t>0</w:t>
            </w:r>
            <w:r w:rsidR="008D2042">
              <w:rPr>
                <w:rFonts w:ascii="Times New Roman" w:hAnsi="Times New Roman" w:cs="Times New Roman"/>
                <w:sz w:val="20"/>
                <w:szCs w:val="20"/>
              </w:rPr>
              <w:t>,00</w:t>
            </w:r>
          </w:p>
        </w:tc>
        <w:tc>
          <w:tcPr>
            <w:tcW w:w="1417" w:type="dxa"/>
            <w:vAlign w:val="center"/>
            <w:hideMark/>
          </w:tcPr>
          <w:p w14:paraId="58C468FF" w14:textId="7798376F" w:rsidR="00255425" w:rsidRPr="00467260" w:rsidRDefault="00255425" w:rsidP="00660601">
            <w:pPr>
              <w:jc w:val="center"/>
              <w:rPr>
                <w:rFonts w:ascii="Times New Roman" w:hAnsi="Times New Roman" w:cs="Times New Roman"/>
                <w:sz w:val="20"/>
                <w:szCs w:val="20"/>
              </w:rPr>
            </w:pPr>
            <w:r w:rsidRPr="00467260">
              <w:rPr>
                <w:rFonts w:ascii="Times New Roman" w:hAnsi="Times New Roman" w:cs="Times New Roman"/>
                <w:sz w:val="20"/>
                <w:szCs w:val="20"/>
              </w:rPr>
              <w:t>0</w:t>
            </w:r>
            <w:r w:rsidR="008D2042">
              <w:rPr>
                <w:rFonts w:ascii="Times New Roman" w:hAnsi="Times New Roman" w:cs="Times New Roman"/>
                <w:sz w:val="20"/>
                <w:szCs w:val="20"/>
              </w:rPr>
              <w:t>,00</w:t>
            </w:r>
          </w:p>
        </w:tc>
        <w:tc>
          <w:tcPr>
            <w:tcW w:w="1418" w:type="dxa"/>
            <w:vAlign w:val="center"/>
            <w:hideMark/>
          </w:tcPr>
          <w:p w14:paraId="01FCD87B" w14:textId="2A9612E6" w:rsidR="00255425" w:rsidRPr="00467260" w:rsidRDefault="00255425" w:rsidP="00660601">
            <w:pPr>
              <w:jc w:val="center"/>
              <w:rPr>
                <w:rFonts w:ascii="Times New Roman" w:hAnsi="Times New Roman" w:cs="Times New Roman"/>
                <w:sz w:val="20"/>
                <w:szCs w:val="20"/>
              </w:rPr>
            </w:pPr>
            <w:r w:rsidRPr="00467260">
              <w:rPr>
                <w:rFonts w:ascii="Times New Roman" w:hAnsi="Times New Roman" w:cs="Times New Roman"/>
                <w:sz w:val="20"/>
                <w:szCs w:val="20"/>
              </w:rPr>
              <w:t>0</w:t>
            </w:r>
            <w:r w:rsidR="008D2042">
              <w:rPr>
                <w:rFonts w:ascii="Times New Roman" w:hAnsi="Times New Roman" w:cs="Times New Roman"/>
                <w:sz w:val="20"/>
                <w:szCs w:val="20"/>
              </w:rPr>
              <w:t>,00</w:t>
            </w:r>
          </w:p>
        </w:tc>
        <w:tc>
          <w:tcPr>
            <w:tcW w:w="1417" w:type="dxa"/>
            <w:vAlign w:val="center"/>
            <w:hideMark/>
          </w:tcPr>
          <w:p w14:paraId="5C0991FE" w14:textId="1E1138A4" w:rsidR="00255425" w:rsidRPr="00467260" w:rsidRDefault="00255425" w:rsidP="00660601">
            <w:pPr>
              <w:jc w:val="center"/>
              <w:rPr>
                <w:rFonts w:ascii="Times New Roman" w:hAnsi="Times New Roman" w:cs="Times New Roman"/>
                <w:sz w:val="20"/>
                <w:szCs w:val="20"/>
              </w:rPr>
            </w:pPr>
            <w:r w:rsidRPr="00467260">
              <w:rPr>
                <w:rFonts w:ascii="Times New Roman" w:hAnsi="Times New Roman" w:cs="Times New Roman"/>
                <w:sz w:val="20"/>
                <w:szCs w:val="20"/>
              </w:rPr>
              <w:t>0</w:t>
            </w:r>
            <w:r w:rsidR="008D2042">
              <w:rPr>
                <w:rFonts w:ascii="Times New Roman" w:hAnsi="Times New Roman" w:cs="Times New Roman"/>
                <w:sz w:val="20"/>
                <w:szCs w:val="20"/>
              </w:rPr>
              <w:t>,00</w:t>
            </w:r>
          </w:p>
        </w:tc>
        <w:tc>
          <w:tcPr>
            <w:tcW w:w="1418" w:type="dxa"/>
            <w:shd w:val="clear" w:color="auto" w:fill="A6A6A6" w:themeFill="background1" w:themeFillShade="A6"/>
            <w:vAlign w:val="center"/>
            <w:hideMark/>
          </w:tcPr>
          <w:p w14:paraId="763296AA" w14:textId="49A5C3DB" w:rsidR="00255425" w:rsidRPr="00660601" w:rsidRDefault="00255425" w:rsidP="00660601">
            <w:pPr>
              <w:jc w:val="center"/>
              <w:rPr>
                <w:rFonts w:ascii="Times New Roman" w:hAnsi="Times New Roman" w:cs="Times New Roman"/>
                <w:b/>
                <w:bCs/>
                <w:color w:val="FFFFFF" w:themeColor="background1"/>
                <w:sz w:val="20"/>
                <w:szCs w:val="20"/>
              </w:rPr>
            </w:pPr>
            <w:r w:rsidRPr="00660601">
              <w:rPr>
                <w:rFonts w:ascii="Times New Roman" w:hAnsi="Times New Roman" w:cs="Times New Roman"/>
                <w:b/>
                <w:bCs/>
                <w:color w:val="FFFFFF" w:themeColor="background1"/>
                <w:sz w:val="20"/>
                <w:szCs w:val="20"/>
              </w:rPr>
              <w:t>0</w:t>
            </w:r>
            <w:r w:rsidR="0042275D">
              <w:rPr>
                <w:rFonts w:ascii="Times New Roman" w:hAnsi="Times New Roman" w:cs="Times New Roman"/>
                <w:b/>
                <w:bCs/>
                <w:color w:val="FFFFFF" w:themeColor="background1"/>
                <w:sz w:val="20"/>
                <w:szCs w:val="20"/>
              </w:rPr>
              <w:t>,00</w:t>
            </w:r>
          </w:p>
        </w:tc>
      </w:tr>
      <w:tr w:rsidR="00A916EF" w:rsidRPr="00B9146C" w14:paraId="62DACBEA" w14:textId="77777777" w:rsidTr="00467260">
        <w:trPr>
          <w:trHeight w:val="288"/>
        </w:trPr>
        <w:tc>
          <w:tcPr>
            <w:tcW w:w="2333" w:type="dxa"/>
            <w:shd w:val="clear" w:color="auto" w:fill="DBDBDB" w:themeFill="accent3" w:themeFillTint="66"/>
            <w:vAlign w:val="center"/>
            <w:hideMark/>
          </w:tcPr>
          <w:p w14:paraId="3A8C98AC" w14:textId="77777777" w:rsidR="00487756" w:rsidRPr="00660601" w:rsidRDefault="00487756" w:rsidP="00660601">
            <w:pPr>
              <w:rPr>
                <w:rFonts w:ascii="Times New Roman" w:hAnsi="Times New Roman" w:cs="Times New Roman"/>
                <w:b/>
                <w:bCs/>
                <w:sz w:val="20"/>
                <w:szCs w:val="20"/>
              </w:rPr>
            </w:pPr>
            <w:r w:rsidRPr="00660601">
              <w:rPr>
                <w:rFonts w:ascii="Times New Roman" w:hAnsi="Times New Roman" w:cs="Times New Roman"/>
                <w:b/>
                <w:bCs/>
                <w:sz w:val="20"/>
                <w:szCs w:val="20"/>
              </w:rPr>
              <w:t>Sprzęt informatyczny</w:t>
            </w:r>
          </w:p>
        </w:tc>
        <w:tc>
          <w:tcPr>
            <w:tcW w:w="1353" w:type="dxa"/>
            <w:vAlign w:val="center"/>
            <w:hideMark/>
          </w:tcPr>
          <w:p w14:paraId="3EC9D241" w14:textId="4CA50F3F" w:rsidR="00487756" w:rsidRPr="00467260" w:rsidRDefault="00F8245C" w:rsidP="00660601">
            <w:pPr>
              <w:jc w:val="center"/>
              <w:rPr>
                <w:rFonts w:ascii="Times New Roman" w:hAnsi="Times New Roman" w:cs="Times New Roman"/>
                <w:sz w:val="20"/>
                <w:szCs w:val="20"/>
              </w:rPr>
            </w:pPr>
            <w:r w:rsidRPr="00467260">
              <w:rPr>
                <w:rFonts w:ascii="Times New Roman" w:hAnsi="Times New Roman" w:cs="Times New Roman"/>
                <w:sz w:val="20"/>
                <w:szCs w:val="20"/>
              </w:rPr>
              <w:t>1</w:t>
            </w:r>
            <w:r w:rsidR="00487756" w:rsidRPr="00467260">
              <w:rPr>
                <w:rFonts w:ascii="Times New Roman" w:hAnsi="Times New Roman" w:cs="Times New Roman"/>
                <w:sz w:val="20"/>
                <w:szCs w:val="20"/>
              </w:rPr>
              <w:t>50 000,00</w:t>
            </w:r>
          </w:p>
        </w:tc>
        <w:tc>
          <w:tcPr>
            <w:tcW w:w="1276" w:type="dxa"/>
            <w:vAlign w:val="center"/>
            <w:hideMark/>
          </w:tcPr>
          <w:p w14:paraId="5F93E44C" w14:textId="7346BCF9" w:rsidR="00487756" w:rsidRPr="00467260" w:rsidRDefault="00F8245C" w:rsidP="00660601">
            <w:pPr>
              <w:jc w:val="center"/>
              <w:rPr>
                <w:rFonts w:ascii="Times New Roman" w:hAnsi="Times New Roman" w:cs="Times New Roman"/>
                <w:sz w:val="20"/>
                <w:szCs w:val="20"/>
              </w:rPr>
            </w:pPr>
            <w:r w:rsidRPr="00467260">
              <w:rPr>
                <w:rFonts w:ascii="Times New Roman" w:hAnsi="Times New Roman" w:cs="Times New Roman"/>
                <w:sz w:val="20"/>
                <w:szCs w:val="20"/>
              </w:rPr>
              <w:t>2</w:t>
            </w:r>
            <w:r w:rsidR="00487756" w:rsidRPr="00467260">
              <w:rPr>
                <w:rFonts w:ascii="Times New Roman" w:hAnsi="Times New Roman" w:cs="Times New Roman"/>
                <w:sz w:val="20"/>
                <w:szCs w:val="20"/>
              </w:rPr>
              <w:t>50 000,00</w:t>
            </w:r>
          </w:p>
        </w:tc>
        <w:tc>
          <w:tcPr>
            <w:tcW w:w="1417" w:type="dxa"/>
            <w:vAlign w:val="center"/>
            <w:hideMark/>
          </w:tcPr>
          <w:p w14:paraId="47AA2BE6" w14:textId="75657FCD" w:rsidR="00487756" w:rsidRPr="00467260" w:rsidRDefault="00F8245C" w:rsidP="00660601">
            <w:pPr>
              <w:jc w:val="center"/>
              <w:rPr>
                <w:rFonts w:ascii="Times New Roman" w:hAnsi="Times New Roman" w:cs="Times New Roman"/>
                <w:sz w:val="20"/>
                <w:szCs w:val="20"/>
              </w:rPr>
            </w:pPr>
            <w:r w:rsidRPr="00467260">
              <w:rPr>
                <w:rFonts w:ascii="Times New Roman" w:hAnsi="Times New Roman" w:cs="Times New Roman"/>
                <w:sz w:val="20"/>
                <w:szCs w:val="20"/>
              </w:rPr>
              <w:t>250</w:t>
            </w:r>
            <w:r w:rsidR="00487756" w:rsidRPr="00467260">
              <w:rPr>
                <w:rFonts w:ascii="Times New Roman" w:hAnsi="Times New Roman" w:cs="Times New Roman"/>
                <w:sz w:val="20"/>
                <w:szCs w:val="20"/>
              </w:rPr>
              <w:t xml:space="preserve"> 000,00</w:t>
            </w:r>
          </w:p>
        </w:tc>
        <w:tc>
          <w:tcPr>
            <w:tcW w:w="1418" w:type="dxa"/>
            <w:vAlign w:val="center"/>
            <w:hideMark/>
          </w:tcPr>
          <w:p w14:paraId="6662ECCC" w14:textId="5139FA7B" w:rsidR="00487756" w:rsidRPr="00467260" w:rsidRDefault="00F8245C" w:rsidP="00660601">
            <w:pPr>
              <w:jc w:val="center"/>
              <w:rPr>
                <w:rFonts w:ascii="Times New Roman" w:hAnsi="Times New Roman" w:cs="Times New Roman"/>
                <w:sz w:val="20"/>
                <w:szCs w:val="20"/>
              </w:rPr>
            </w:pPr>
            <w:r w:rsidRPr="00467260">
              <w:rPr>
                <w:rFonts w:ascii="Times New Roman" w:hAnsi="Times New Roman" w:cs="Times New Roman"/>
                <w:sz w:val="20"/>
                <w:szCs w:val="20"/>
              </w:rPr>
              <w:t>370</w:t>
            </w:r>
            <w:r w:rsidR="00487756" w:rsidRPr="00467260">
              <w:rPr>
                <w:rFonts w:ascii="Times New Roman" w:hAnsi="Times New Roman" w:cs="Times New Roman"/>
                <w:sz w:val="20"/>
                <w:szCs w:val="20"/>
              </w:rPr>
              <w:t xml:space="preserve"> 000,00</w:t>
            </w:r>
          </w:p>
        </w:tc>
        <w:tc>
          <w:tcPr>
            <w:tcW w:w="1417" w:type="dxa"/>
            <w:vAlign w:val="center"/>
            <w:hideMark/>
          </w:tcPr>
          <w:p w14:paraId="7C232A91" w14:textId="4ECC2199" w:rsidR="00487756" w:rsidRPr="00467260" w:rsidRDefault="00F8245C" w:rsidP="00660601">
            <w:pPr>
              <w:jc w:val="center"/>
              <w:rPr>
                <w:rFonts w:ascii="Times New Roman" w:hAnsi="Times New Roman" w:cs="Times New Roman"/>
                <w:sz w:val="20"/>
                <w:szCs w:val="20"/>
              </w:rPr>
            </w:pPr>
            <w:r w:rsidRPr="00467260">
              <w:rPr>
                <w:rFonts w:ascii="Times New Roman" w:hAnsi="Times New Roman" w:cs="Times New Roman"/>
                <w:sz w:val="20"/>
                <w:szCs w:val="20"/>
              </w:rPr>
              <w:t>270</w:t>
            </w:r>
            <w:r w:rsidR="00487756" w:rsidRPr="00467260">
              <w:rPr>
                <w:rFonts w:ascii="Times New Roman" w:hAnsi="Times New Roman" w:cs="Times New Roman"/>
                <w:sz w:val="20"/>
                <w:szCs w:val="20"/>
              </w:rPr>
              <w:t xml:space="preserve"> 000,00</w:t>
            </w:r>
          </w:p>
        </w:tc>
        <w:tc>
          <w:tcPr>
            <w:tcW w:w="1418" w:type="dxa"/>
            <w:shd w:val="clear" w:color="auto" w:fill="A6A6A6" w:themeFill="background1" w:themeFillShade="A6"/>
            <w:vAlign w:val="center"/>
            <w:hideMark/>
          </w:tcPr>
          <w:p w14:paraId="6C25026C" w14:textId="5035E3FB" w:rsidR="00487756" w:rsidRPr="00660601" w:rsidRDefault="00E8027D" w:rsidP="00660601">
            <w:pPr>
              <w:jc w:val="center"/>
              <w:rPr>
                <w:rFonts w:ascii="Times New Roman" w:hAnsi="Times New Roman" w:cs="Times New Roman"/>
                <w:b/>
                <w:bCs/>
                <w:color w:val="FFFFFF" w:themeColor="background1"/>
                <w:sz w:val="20"/>
                <w:szCs w:val="20"/>
              </w:rPr>
            </w:pPr>
            <w:r w:rsidRPr="00660601">
              <w:rPr>
                <w:rFonts w:ascii="Times New Roman" w:hAnsi="Times New Roman" w:cs="Times New Roman"/>
                <w:b/>
                <w:bCs/>
                <w:color w:val="FFFFFF" w:themeColor="background1"/>
                <w:sz w:val="20"/>
                <w:szCs w:val="20"/>
              </w:rPr>
              <w:t>1 290 000,00</w:t>
            </w:r>
          </w:p>
        </w:tc>
      </w:tr>
      <w:tr w:rsidR="00A916EF" w:rsidRPr="00B9146C" w14:paraId="52B41471" w14:textId="77777777" w:rsidTr="00467260">
        <w:trPr>
          <w:trHeight w:val="288"/>
        </w:trPr>
        <w:tc>
          <w:tcPr>
            <w:tcW w:w="2333" w:type="dxa"/>
            <w:shd w:val="clear" w:color="auto" w:fill="DBDBDB" w:themeFill="accent3" w:themeFillTint="66"/>
            <w:vAlign w:val="center"/>
            <w:hideMark/>
          </w:tcPr>
          <w:p w14:paraId="7ECDB263" w14:textId="77777777" w:rsidR="00487756" w:rsidRPr="00660601" w:rsidRDefault="00487756" w:rsidP="00660601">
            <w:pPr>
              <w:rPr>
                <w:rFonts w:ascii="Times New Roman" w:hAnsi="Times New Roman" w:cs="Times New Roman"/>
                <w:b/>
                <w:bCs/>
                <w:sz w:val="20"/>
                <w:szCs w:val="20"/>
              </w:rPr>
            </w:pPr>
            <w:r w:rsidRPr="00660601">
              <w:rPr>
                <w:rFonts w:ascii="Times New Roman" w:hAnsi="Times New Roman" w:cs="Times New Roman"/>
                <w:b/>
                <w:bCs/>
                <w:sz w:val="20"/>
                <w:szCs w:val="20"/>
              </w:rPr>
              <w:t>Szkolenia</w:t>
            </w:r>
          </w:p>
        </w:tc>
        <w:tc>
          <w:tcPr>
            <w:tcW w:w="1353" w:type="dxa"/>
            <w:vAlign w:val="center"/>
            <w:hideMark/>
          </w:tcPr>
          <w:p w14:paraId="34416CC3" w14:textId="57585C7C" w:rsidR="00487756" w:rsidRPr="00467260" w:rsidRDefault="00487756" w:rsidP="00660601">
            <w:pPr>
              <w:jc w:val="center"/>
              <w:rPr>
                <w:rFonts w:ascii="Times New Roman" w:hAnsi="Times New Roman" w:cs="Times New Roman"/>
                <w:sz w:val="20"/>
                <w:szCs w:val="20"/>
              </w:rPr>
            </w:pPr>
            <w:r w:rsidRPr="00467260">
              <w:rPr>
                <w:rFonts w:ascii="Times New Roman" w:hAnsi="Times New Roman" w:cs="Times New Roman"/>
                <w:sz w:val="20"/>
                <w:szCs w:val="20"/>
              </w:rPr>
              <w:t>108 000,00</w:t>
            </w:r>
          </w:p>
        </w:tc>
        <w:tc>
          <w:tcPr>
            <w:tcW w:w="1276" w:type="dxa"/>
            <w:vAlign w:val="center"/>
            <w:hideMark/>
          </w:tcPr>
          <w:p w14:paraId="4CF644CA" w14:textId="14AD02F7" w:rsidR="00487756" w:rsidRPr="00467260" w:rsidRDefault="00487756" w:rsidP="00660601">
            <w:pPr>
              <w:jc w:val="center"/>
              <w:rPr>
                <w:rFonts w:ascii="Times New Roman" w:hAnsi="Times New Roman" w:cs="Times New Roman"/>
                <w:sz w:val="20"/>
                <w:szCs w:val="20"/>
              </w:rPr>
            </w:pPr>
            <w:r w:rsidRPr="00467260">
              <w:rPr>
                <w:rFonts w:ascii="Times New Roman" w:hAnsi="Times New Roman" w:cs="Times New Roman"/>
                <w:sz w:val="20"/>
                <w:szCs w:val="20"/>
              </w:rPr>
              <w:t>108 000,00</w:t>
            </w:r>
          </w:p>
        </w:tc>
        <w:tc>
          <w:tcPr>
            <w:tcW w:w="1417" w:type="dxa"/>
            <w:vAlign w:val="center"/>
            <w:hideMark/>
          </w:tcPr>
          <w:p w14:paraId="1EB9CBF5" w14:textId="559E21E2" w:rsidR="00487756" w:rsidRPr="00467260" w:rsidRDefault="00487756" w:rsidP="00660601">
            <w:pPr>
              <w:jc w:val="center"/>
              <w:rPr>
                <w:rFonts w:ascii="Times New Roman" w:hAnsi="Times New Roman" w:cs="Times New Roman"/>
                <w:sz w:val="20"/>
                <w:szCs w:val="20"/>
              </w:rPr>
            </w:pPr>
            <w:r w:rsidRPr="00467260">
              <w:rPr>
                <w:rFonts w:ascii="Times New Roman" w:hAnsi="Times New Roman" w:cs="Times New Roman"/>
                <w:sz w:val="20"/>
                <w:szCs w:val="20"/>
              </w:rPr>
              <w:t>108 000,00</w:t>
            </w:r>
          </w:p>
        </w:tc>
        <w:tc>
          <w:tcPr>
            <w:tcW w:w="1418" w:type="dxa"/>
            <w:vAlign w:val="center"/>
            <w:hideMark/>
          </w:tcPr>
          <w:p w14:paraId="58D22FEC" w14:textId="052261D3" w:rsidR="00487756" w:rsidRPr="00467260" w:rsidRDefault="00487756" w:rsidP="00660601">
            <w:pPr>
              <w:jc w:val="center"/>
              <w:rPr>
                <w:rFonts w:ascii="Times New Roman" w:hAnsi="Times New Roman" w:cs="Times New Roman"/>
                <w:sz w:val="20"/>
                <w:szCs w:val="20"/>
              </w:rPr>
            </w:pPr>
            <w:r w:rsidRPr="00467260">
              <w:rPr>
                <w:rFonts w:ascii="Times New Roman" w:hAnsi="Times New Roman" w:cs="Times New Roman"/>
                <w:sz w:val="20"/>
                <w:szCs w:val="20"/>
              </w:rPr>
              <w:t>108 000,00</w:t>
            </w:r>
          </w:p>
        </w:tc>
        <w:tc>
          <w:tcPr>
            <w:tcW w:w="1417" w:type="dxa"/>
            <w:vAlign w:val="center"/>
            <w:hideMark/>
          </w:tcPr>
          <w:p w14:paraId="12855A3D" w14:textId="56ADB9C3" w:rsidR="00487756" w:rsidRPr="00467260" w:rsidRDefault="00487756" w:rsidP="00660601">
            <w:pPr>
              <w:jc w:val="center"/>
              <w:rPr>
                <w:rFonts w:ascii="Times New Roman" w:hAnsi="Times New Roman" w:cs="Times New Roman"/>
                <w:sz w:val="20"/>
                <w:szCs w:val="20"/>
              </w:rPr>
            </w:pPr>
            <w:r w:rsidRPr="00467260">
              <w:rPr>
                <w:rFonts w:ascii="Times New Roman" w:hAnsi="Times New Roman" w:cs="Times New Roman"/>
                <w:sz w:val="20"/>
                <w:szCs w:val="20"/>
              </w:rPr>
              <w:t>108 000,00</w:t>
            </w:r>
          </w:p>
        </w:tc>
        <w:tc>
          <w:tcPr>
            <w:tcW w:w="1418" w:type="dxa"/>
            <w:shd w:val="clear" w:color="auto" w:fill="A6A6A6" w:themeFill="background1" w:themeFillShade="A6"/>
            <w:vAlign w:val="center"/>
            <w:hideMark/>
          </w:tcPr>
          <w:p w14:paraId="20E3800C" w14:textId="12584A62" w:rsidR="00487756" w:rsidRPr="00660601" w:rsidRDefault="00487756" w:rsidP="00660601">
            <w:pPr>
              <w:jc w:val="center"/>
              <w:rPr>
                <w:rFonts w:ascii="Times New Roman" w:hAnsi="Times New Roman" w:cs="Times New Roman"/>
                <w:b/>
                <w:bCs/>
                <w:color w:val="FFFFFF" w:themeColor="background1"/>
                <w:sz w:val="20"/>
                <w:szCs w:val="20"/>
              </w:rPr>
            </w:pPr>
            <w:r w:rsidRPr="00660601">
              <w:rPr>
                <w:rFonts w:ascii="Times New Roman" w:hAnsi="Times New Roman" w:cs="Times New Roman"/>
                <w:b/>
                <w:bCs/>
                <w:color w:val="FFFFFF" w:themeColor="background1"/>
                <w:sz w:val="20"/>
                <w:szCs w:val="20"/>
              </w:rPr>
              <w:t>540 000,00</w:t>
            </w:r>
          </w:p>
        </w:tc>
      </w:tr>
      <w:tr w:rsidR="00A916EF" w:rsidRPr="00B9146C" w14:paraId="584C1469" w14:textId="77777777" w:rsidTr="00467260">
        <w:trPr>
          <w:trHeight w:val="288"/>
        </w:trPr>
        <w:tc>
          <w:tcPr>
            <w:tcW w:w="2333" w:type="dxa"/>
            <w:shd w:val="clear" w:color="auto" w:fill="DBDBDB" w:themeFill="accent3" w:themeFillTint="66"/>
            <w:vAlign w:val="center"/>
            <w:hideMark/>
          </w:tcPr>
          <w:p w14:paraId="618102D9" w14:textId="77777777" w:rsidR="008938B4" w:rsidRPr="00660601" w:rsidRDefault="008938B4" w:rsidP="00660601">
            <w:pPr>
              <w:rPr>
                <w:rFonts w:ascii="Times New Roman" w:hAnsi="Times New Roman" w:cs="Times New Roman"/>
                <w:b/>
                <w:bCs/>
                <w:sz w:val="20"/>
                <w:szCs w:val="20"/>
              </w:rPr>
            </w:pPr>
            <w:r w:rsidRPr="00660601">
              <w:rPr>
                <w:rFonts w:ascii="Times New Roman" w:hAnsi="Times New Roman" w:cs="Times New Roman"/>
                <w:b/>
                <w:bCs/>
                <w:sz w:val="20"/>
                <w:szCs w:val="20"/>
              </w:rPr>
              <w:t>Usługi informatyczne</w:t>
            </w:r>
          </w:p>
        </w:tc>
        <w:tc>
          <w:tcPr>
            <w:tcW w:w="1353" w:type="dxa"/>
            <w:hideMark/>
          </w:tcPr>
          <w:p w14:paraId="2D5729D5" w14:textId="65AECB8E" w:rsidR="008938B4" w:rsidRPr="00467260" w:rsidRDefault="008938B4" w:rsidP="00660601">
            <w:pPr>
              <w:jc w:val="center"/>
              <w:rPr>
                <w:rFonts w:ascii="Times New Roman" w:hAnsi="Times New Roman" w:cs="Times New Roman"/>
                <w:sz w:val="20"/>
                <w:szCs w:val="20"/>
              </w:rPr>
            </w:pPr>
            <w:r w:rsidRPr="00467260">
              <w:rPr>
                <w:rFonts w:ascii="Times New Roman" w:hAnsi="Times New Roman" w:cs="Times New Roman"/>
                <w:sz w:val="20"/>
                <w:szCs w:val="20"/>
              </w:rPr>
              <w:t xml:space="preserve"> 400 000,00 </w:t>
            </w:r>
          </w:p>
        </w:tc>
        <w:tc>
          <w:tcPr>
            <w:tcW w:w="1276" w:type="dxa"/>
            <w:hideMark/>
          </w:tcPr>
          <w:p w14:paraId="03EC928B" w14:textId="5F8DFB5F" w:rsidR="008938B4" w:rsidRPr="00467260" w:rsidRDefault="008938B4" w:rsidP="00660601">
            <w:pPr>
              <w:jc w:val="center"/>
              <w:rPr>
                <w:rFonts w:ascii="Times New Roman" w:hAnsi="Times New Roman" w:cs="Times New Roman"/>
                <w:sz w:val="20"/>
                <w:szCs w:val="20"/>
              </w:rPr>
            </w:pPr>
            <w:r w:rsidRPr="00467260">
              <w:rPr>
                <w:rFonts w:ascii="Times New Roman" w:hAnsi="Times New Roman" w:cs="Times New Roman"/>
                <w:sz w:val="20"/>
                <w:szCs w:val="20"/>
              </w:rPr>
              <w:t xml:space="preserve"> 421 000,00 </w:t>
            </w:r>
          </w:p>
        </w:tc>
        <w:tc>
          <w:tcPr>
            <w:tcW w:w="1417" w:type="dxa"/>
            <w:hideMark/>
          </w:tcPr>
          <w:p w14:paraId="25BEA0E2" w14:textId="179F5821" w:rsidR="008938B4" w:rsidRPr="00467260" w:rsidRDefault="008938B4" w:rsidP="00660601">
            <w:pPr>
              <w:jc w:val="center"/>
              <w:rPr>
                <w:rFonts w:ascii="Times New Roman" w:hAnsi="Times New Roman" w:cs="Times New Roman"/>
                <w:sz w:val="20"/>
                <w:szCs w:val="20"/>
              </w:rPr>
            </w:pPr>
            <w:r w:rsidRPr="00467260">
              <w:rPr>
                <w:rFonts w:ascii="Times New Roman" w:hAnsi="Times New Roman" w:cs="Times New Roman"/>
                <w:sz w:val="20"/>
                <w:szCs w:val="20"/>
              </w:rPr>
              <w:t xml:space="preserve"> 442 000,00 </w:t>
            </w:r>
          </w:p>
        </w:tc>
        <w:tc>
          <w:tcPr>
            <w:tcW w:w="1418" w:type="dxa"/>
            <w:hideMark/>
          </w:tcPr>
          <w:p w14:paraId="1D2ED565" w14:textId="66F171B6" w:rsidR="008938B4" w:rsidRPr="00467260" w:rsidRDefault="008938B4" w:rsidP="00660601">
            <w:pPr>
              <w:jc w:val="center"/>
              <w:rPr>
                <w:rFonts w:ascii="Times New Roman" w:hAnsi="Times New Roman" w:cs="Times New Roman"/>
                <w:sz w:val="20"/>
                <w:szCs w:val="20"/>
              </w:rPr>
            </w:pPr>
            <w:r w:rsidRPr="00467260">
              <w:rPr>
                <w:rFonts w:ascii="Times New Roman" w:hAnsi="Times New Roman" w:cs="Times New Roman"/>
                <w:sz w:val="20"/>
                <w:szCs w:val="20"/>
              </w:rPr>
              <w:t xml:space="preserve"> 464 000,00 </w:t>
            </w:r>
          </w:p>
        </w:tc>
        <w:tc>
          <w:tcPr>
            <w:tcW w:w="1417" w:type="dxa"/>
            <w:hideMark/>
          </w:tcPr>
          <w:p w14:paraId="28BD4E9F" w14:textId="5331E416" w:rsidR="008938B4" w:rsidRPr="00467260" w:rsidRDefault="008938B4" w:rsidP="00660601">
            <w:pPr>
              <w:jc w:val="center"/>
              <w:rPr>
                <w:rFonts w:ascii="Times New Roman" w:hAnsi="Times New Roman" w:cs="Times New Roman"/>
                <w:sz w:val="20"/>
                <w:szCs w:val="20"/>
              </w:rPr>
            </w:pPr>
            <w:r w:rsidRPr="00467260">
              <w:rPr>
                <w:rFonts w:ascii="Times New Roman" w:hAnsi="Times New Roman" w:cs="Times New Roman"/>
                <w:sz w:val="20"/>
                <w:szCs w:val="20"/>
              </w:rPr>
              <w:t xml:space="preserve"> 484 000,00 </w:t>
            </w:r>
          </w:p>
        </w:tc>
        <w:tc>
          <w:tcPr>
            <w:tcW w:w="1418" w:type="dxa"/>
            <w:shd w:val="clear" w:color="auto" w:fill="A6A6A6" w:themeFill="background1" w:themeFillShade="A6"/>
            <w:hideMark/>
          </w:tcPr>
          <w:p w14:paraId="017DF5D1" w14:textId="188F777C" w:rsidR="008938B4" w:rsidRPr="00660601" w:rsidRDefault="008938B4" w:rsidP="00660601">
            <w:pPr>
              <w:jc w:val="center"/>
              <w:rPr>
                <w:rFonts w:ascii="Times New Roman" w:hAnsi="Times New Roman" w:cs="Times New Roman"/>
                <w:b/>
                <w:bCs/>
                <w:color w:val="FFFFFF" w:themeColor="background1"/>
                <w:sz w:val="20"/>
                <w:szCs w:val="20"/>
              </w:rPr>
            </w:pPr>
            <w:r w:rsidRPr="00660601">
              <w:rPr>
                <w:rFonts w:ascii="Times New Roman" w:hAnsi="Times New Roman" w:cs="Times New Roman"/>
                <w:b/>
                <w:bCs/>
                <w:color w:val="FFFFFF" w:themeColor="background1"/>
                <w:sz w:val="20"/>
                <w:szCs w:val="20"/>
              </w:rPr>
              <w:t xml:space="preserve"> 2 211 000,00 </w:t>
            </w:r>
          </w:p>
        </w:tc>
      </w:tr>
      <w:tr w:rsidR="00A916EF" w:rsidRPr="00B9146C" w14:paraId="71B9A9EE" w14:textId="77777777" w:rsidTr="00467260">
        <w:trPr>
          <w:trHeight w:val="288"/>
        </w:trPr>
        <w:tc>
          <w:tcPr>
            <w:tcW w:w="2333" w:type="dxa"/>
            <w:shd w:val="clear" w:color="auto" w:fill="DBDBDB" w:themeFill="accent3" w:themeFillTint="66"/>
            <w:vAlign w:val="center"/>
            <w:hideMark/>
          </w:tcPr>
          <w:p w14:paraId="79B7F6E7" w14:textId="77777777" w:rsidR="00524669" w:rsidRPr="00660601" w:rsidRDefault="00524669" w:rsidP="00660601">
            <w:pPr>
              <w:rPr>
                <w:rFonts w:ascii="Times New Roman" w:hAnsi="Times New Roman" w:cs="Times New Roman"/>
                <w:b/>
                <w:bCs/>
                <w:sz w:val="20"/>
                <w:szCs w:val="20"/>
              </w:rPr>
            </w:pPr>
            <w:r w:rsidRPr="00660601">
              <w:rPr>
                <w:rFonts w:ascii="Times New Roman" w:hAnsi="Times New Roman" w:cs="Times New Roman"/>
                <w:b/>
                <w:bCs/>
                <w:sz w:val="20"/>
                <w:szCs w:val="20"/>
              </w:rPr>
              <w:t>Usługi wspomagające realizację</w:t>
            </w:r>
          </w:p>
        </w:tc>
        <w:tc>
          <w:tcPr>
            <w:tcW w:w="1353" w:type="dxa"/>
            <w:vAlign w:val="center"/>
            <w:hideMark/>
          </w:tcPr>
          <w:p w14:paraId="218803C4" w14:textId="73BE7E05" w:rsidR="00524669" w:rsidRPr="00467260" w:rsidRDefault="00524669" w:rsidP="00660601">
            <w:pPr>
              <w:jc w:val="center"/>
              <w:rPr>
                <w:rFonts w:ascii="Times New Roman" w:hAnsi="Times New Roman" w:cs="Times New Roman"/>
                <w:sz w:val="20"/>
                <w:szCs w:val="20"/>
              </w:rPr>
            </w:pPr>
            <w:r w:rsidRPr="00467260">
              <w:rPr>
                <w:rFonts w:ascii="Times New Roman" w:hAnsi="Times New Roman" w:cs="Times New Roman"/>
                <w:sz w:val="20"/>
                <w:szCs w:val="20"/>
              </w:rPr>
              <w:t xml:space="preserve"> 550 000,00 </w:t>
            </w:r>
          </w:p>
        </w:tc>
        <w:tc>
          <w:tcPr>
            <w:tcW w:w="1276" w:type="dxa"/>
            <w:vAlign w:val="center"/>
            <w:hideMark/>
          </w:tcPr>
          <w:p w14:paraId="7A0535D0" w14:textId="7CFE3830" w:rsidR="00524669" w:rsidRPr="00467260" w:rsidRDefault="00524669" w:rsidP="00660601">
            <w:pPr>
              <w:jc w:val="center"/>
              <w:rPr>
                <w:rFonts w:ascii="Times New Roman" w:hAnsi="Times New Roman" w:cs="Times New Roman"/>
                <w:sz w:val="20"/>
                <w:szCs w:val="20"/>
              </w:rPr>
            </w:pPr>
            <w:r w:rsidRPr="00467260">
              <w:rPr>
                <w:rFonts w:ascii="Times New Roman" w:hAnsi="Times New Roman" w:cs="Times New Roman"/>
                <w:sz w:val="20"/>
                <w:szCs w:val="20"/>
              </w:rPr>
              <w:t xml:space="preserve"> 600 000,00 </w:t>
            </w:r>
          </w:p>
        </w:tc>
        <w:tc>
          <w:tcPr>
            <w:tcW w:w="1417" w:type="dxa"/>
            <w:vAlign w:val="center"/>
            <w:hideMark/>
          </w:tcPr>
          <w:p w14:paraId="34EE74EF" w14:textId="08DECAEB" w:rsidR="00524669" w:rsidRPr="00467260" w:rsidRDefault="00524669" w:rsidP="00660601">
            <w:pPr>
              <w:jc w:val="center"/>
              <w:rPr>
                <w:rFonts w:ascii="Times New Roman" w:hAnsi="Times New Roman" w:cs="Times New Roman"/>
                <w:sz w:val="20"/>
                <w:szCs w:val="20"/>
              </w:rPr>
            </w:pPr>
            <w:r w:rsidRPr="00467260">
              <w:rPr>
                <w:rFonts w:ascii="Times New Roman" w:hAnsi="Times New Roman" w:cs="Times New Roman"/>
                <w:sz w:val="20"/>
                <w:szCs w:val="20"/>
              </w:rPr>
              <w:t xml:space="preserve"> 720 000,00 </w:t>
            </w:r>
          </w:p>
        </w:tc>
        <w:tc>
          <w:tcPr>
            <w:tcW w:w="1418" w:type="dxa"/>
            <w:vAlign w:val="center"/>
            <w:hideMark/>
          </w:tcPr>
          <w:p w14:paraId="3B08BEC7" w14:textId="41C18299" w:rsidR="00524669" w:rsidRPr="00467260" w:rsidRDefault="00524669" w:rsidP="00660601">
            <w:pPr>
              <w:jc w:val="center"/>
              <w:rPr>
                <w:rFonts w:ascii="Times New Roman" w:hAnsi="Times New Roman" w:cs="Times New Roman"/>
                <w:sz w:val="20"/>
                <w:szCs w:val="20"/>
              </w:rPr>
            </w:pPr>
            <w:r w:rsidRPr="00467260">
              <w:rPr>
                <w:rFonts w:ascii="Times New Roman" w:hAnsi="Times New Roman" w:cs="Times New Roman"/>
                <w:sz w:val="20"/>
                <w:szCs w:val="20"/>
              </w:rPr>
              <w:t xml:space="preserve"> 770 000,00 </w:t>
            </w:r>
          </w:p>
        </w:tc>
        <w:tc>
          <w:tcPr>
            <w:tcW w:w="1417" w:type="dxa"/>
            <w:vAlign w:val="center"/>
            <w:hideMark/>
          </w:tcPr>
          <w:p w14:paraId="598BBCD8" w14:textId="4144CCC7" w:rsidR="00524669" w:rsidRPr="00467260" w:rsidRDefault="00524669" w:rsidP="00660601">
            <w:pPr>
              <w:jc w:val="center"/>
              <w:rPr>
                <w:rFonts w:ascii="Times New Roman" w:hAnsi="Times New Roman" w:cs="Times New Roman"/>
                <w:sz w:val="20"/>
                <w:szCs w:val="20"/>
              </w:rPr>
            </w:pPr>
            <w:r w:rsidRPr="00467260">
              <w:rPr>
                <w:rFonts w:ascii="Times New Roman" w:hAnsi="Times New Roman" w:cs="Times New Roman"/>
                <w:sz w:val="20"/>
                <w:szCs w:val="20"/>
              </w:rPr>
              <w:t xml:space="preserve"> 770 000,00 </w:t>
            </w:r>
          </w:p>
        </w:tc>
        <w:tc>
          <w:tcPr>
            <w:tcW w:w="1418" w:type="dxa"/>
            <w:shd w:val="clear" w:color="auto" w:fill="A6A6A6" w:themeFill="background1" w:themeFillShade="A6"/>
            <w:vAlign w:val="center"/>
            <w:hideMark/>
          </w:tcPr>
          <w:p w14:paraId="60D8A187" w14:textId="0EB19B65" w:rsidR="00524669" w:rsidRPr="00660601" w:rsidRDefault="00524669" w:rsidP="00660601">
            <w:pPr>
              <w:jc w:val="center"/>
              <w:rPr>
                <w:rFonts w:ascii="Times New Roman" w:hAnsi="Times New Roman" w:cs="Times New Roman"/>
                <w:b/>
                <w:bCs/>
                <w:color w:val="FFFFFF" w:themeColor="background1"/>
                <w:sz w:val="20"/>
                <w:szCs w:val="20"/>
              </w:rPr>
            </w:pPr>
            <w:r w:rsidRPr="00660601">
              <w:rPr>
                <w:rFonts w:ascii="Times New Roman" w:hAnsi="Times New Roman" w:cs="Times New Roman"/>
                <w:sz w:val="20"/>
                <w:szCs w:val="20"/>
              </w:rPr>
              <w:t xml:space="preserve"> </w:t>
            </w:r>
            <w:r w:rsidRPr="00660601">
              <w:rPr>
                <w:rFonts w:ascii="Times New Roman" w:hAnsi="Times New Roman" w:cs="Times New Roman"/>
                <w:b/>
                <w:bCs/>
                <w:color w:val="FFFFFF" w:themeColor="background1"/>
                <w:sz w:val="20"/>
                <w:szCs w:val="20"/>
              </w:rPr>
              <w:t xml:space="preserve">3 410 000,00 </w:t>
            </w:r>
          </w:p>
        </w:tc>
      </w:tr>
      <w:tr w:rsidR="00A916EF" w:rsidRPr="00B9146C" w14:paraId="5474A4FE" w14:textId="77777777" w:rsidTr="00467260">
        <w:trPr>
          <w:trHeight w:val="288"/>
        </w:trPr>
        <w:tc>
          <w:tcPr>
            <w:tcW w:w="2333" w:type="dxa"/>
            <w:shd w:val="clear" w:color="auto" w:fill="DBDBDB" w:themeFill="accent3" w:themeFillTint="66"/>
            <w:vAlign w:val="center"/>
            <w:hideMark/>
          </w:tcPr>
          <w:p w14:paraId="7AB91342" w14:textId="4D981612" w:rsidR="009D4734" w:rsidRPr="00660601" w:rsidRDefault="00CE6A5A" w:rsidP="00660601">
            <w:pPr>
              <w:rPr>
                <w:rFonts w:ascii="Times New Roman" w:hAnsi="Times New Roman" w:cs="Times New Roman"/>
                <w:b/>
                <w:bCs/>
                <w:sz w:val="20"/>
                <w:szCs w:val="20"/>
              </w:rPr>
            </w:pPr>
            <w:r w:rsidRPr="00660601">
              <w:rPr>
                <w:rFonts w:ascii="Times New Roman" w:hAnsi="Times New Roman" w:cs="Times New Roman"/>
                <w:b/>
                <w:bCs/>
                <w:sz w:val="20"/>
                <w:szCs w:val="20"/>
              </w:rPr>
              <w:t xml:space="preserve">Wydatki ponoszone </w:t>
            </w:r>
            <w:r w:rsidR="009D4734" w:rsidRPr="00660601">
              <w:rPr>
                <w:rFonts w:ascii="Times New Roman" w:hAnsi="Times New Roman" w:cs="Times New Roman"/>
                <w:b/>
                <w:bCs/>
                <w:sz w:val="20"/>
                <w:szCs w:val="20"/>
              </w:rPr>
              <w:t>na pokrycie kosztów pośrednich</w:t>
            </w:r>
          </w:p>
        </w:tc>
        <w:tc>
          <w:tcPr>
            <w:tcW w:w="1353" w:type="dxa"/>
            <w:vAlign w:val="center"/>
            <w:hideMark/>
          </w:tcPr>
          <w:p w14:paraId="2924B84C" w14:textId="3F924542" w:rsidR="009D4734" w:rsidRPr="00467260" w:rsidRDefault="009D4734" w:rsidP="00660601">
            <w:pPr>
              <w:jc w:val="center"/>
              <w:rPr>
                <w:rFonts w:ascii="Times New Roman" w:hAnsi="Times New Roman" w:cs="Times New Roman"/>
                <w:sz w:val="20"/>
                <w:szCs w:val="20"/>
              </w:rPr>
            </w:pPr>
            <w:r w:rsidRPr="00467260">
              <w:rPr>
                <w:rFonts w:ascii="Times New Roman" w:hAnsi="Times New Roman" w:cs="Times New Roman"/>
                <w:sz w:val="20"/>
                <w:szCs w:val="20"/>
              </w:rPr>
              <w:t xml:space="preserve"> 198 000,00 </w:t>
            </w:r>
          </w:p>
        </w:tc>
        <w:tc>
          <w:tcPr>
            <w:tcW w:w="1276" w:type="dxa"/>
            <w:vAlign w:val="center"/>
            <w:hideMark/>
          </w:tcPr>
          <w:p w14:paraId="00BF160D" w14:textId="3316B6C2" w:rsidR="009D4734" w:rsidRPr="00467260" w:rsidRDefault="009D4734" w:rsidP="00660601">
            <w:pPr>
              <w:jc w:val="center"/>
              <w:rPr>
                <w:rFonts w:ascii="Times New Roman" w:hAnsi="Times New Roman" w:cs="Times New Roman"/>
                <w:sz w:val="20"/>
                <w:szCs w:val="20"/>
              </w:rPr>
            </w:pPr>
            <w:r w:rsidRPr="00467260">
              <w:rPr>
                <w:rFonts w:ascii="Times New Roman" w:hAnsi="Times New Roman" w:cs="Times New Roman"/>
                <w:sz w:val="20"/>
                <w:szCs w:val="20"/>
              </w:rPr>
              <w:t xml:space="preserve">198 000,00 </w:t>
            </w:r>
          </w:p>
        </w:tc>
        <w:tc>
          <w:tcPr>
            <w:tcW w:w="1417" w:type="dxa"/>
            <w:vAlign w:val="center"/>
            <w:hideMark/>
          </w:tcPr>
          <w:p w14:paraId="3DBDAD6A" w14:textId="5A023FF7" w:rsidR="009D4734" w:rsidRPr="00467260" w:rsidRDefault="009D4734" w:rsidP="00660601">
            <w:pPr>
              <w:jc w:val="center"/>
              <w:rPr>
                <w:rFonts w:ascii="Times New Roman" w:hAnsi="Times New Roman" w:cs="Times New Roman"/>
                <w:sz w:val="20"/>
                <w:szCs w:val="20"/>
              </w:rPr>
            </w:pPr>
            <w:r w:rsidRPr="00467260">
              <w:rPr>
                <w:rFonts w:ascii="Times New Roman" w:hAnsi="Times New Roman" w:cs="Times New Roman"/>
                <w:sz w:val="20"/>
                <w:szCs w:val="20"/>
              </w:rPr>
              <w:t xml:space="preserve">198 000,00 </w:t>
            </w:r>
          </w:p>
        </w:tc>
        <w:tc>
          <w:tcPr>
            <w:tcW w:w="1418" w:type="dxa"/>
            <w:vAlign w:val="center"/>
            <w:hideMark/>
          </w:tcPr>
          <w:p w14:paraId="30B29A4B" w14:textId="37F2B71C" w:rsidR="009D4734" w:rsidRPr="00467260" w:rsidRDefault="009D4734" w:rsidP="00660601">
            <w:pPr>
              <w:jc w:val="center"/>
              <w:rPr>
                <w:rFonts w:ascii="Times New Roman" w:hAnsi="Times New Roman" w:cs="Times New Roman"/>
                <w:sz w:val="20"/>
                <w:szCs w:val="20"/>
              </w:rPr>
            </w:pPr>
            <w:r w:rsidRPr="00467260">
              <w:rPr>
                <w:rFonts w:ascii="Times New Roman" w:hAnsi="Times New Roman" w:cs="Times New Roman"/>
                <w:sz w:val="20"/>
                <w:szCs w:val="20"/>
              </w:rPr>
              <w:t xml:space="preserve">198 000,00 </w:t>
            </w:r>
          </w:p>
        </w:tc>
        <w:tc>
          <w:tcPr>
            <w:tcW w:w="1417" w:type="dxa"/>
            <w:vAlign w:val="center"/>
            <w:hideMark/>
          </w:tcPr>
          <w:p w14:paraId="4ED60BEF" w14:textId="1DA2678F" w:rsidR="009D4734" w:rsidRPr="00467260" w:rsidRDefault="009D4734" w:rsidP="00660601">
            <w:pPr>
              <w:jc w:val="center"/>
              <w:rPr>
                <w:rFonts w:ascii="Times New Roman" w:hAnsi="Times New Roman" w:cs="Times New Roman"/>
                <w:sz w:val="20"/>
                <w:szCs w:val="20"/>
              </w:rPr>
            </w:pPr>
            <w:r w:rsidRPr="00467260">
              <w:rPr>
                <w:rFonts w:ascii="Times New Roman" w:hAnsi="Times New Roman" w:cs="Times New Roman"/>
                <w:sz w:val="20"/>
                <w:szCs w:val="20"/>
              </w:rPr>
              <w:t xml:space="preserve">198 000,00 </w:t>
            </w:r>
          </w:p>
        </w:tc>
        <w:tc>
          <w:tcPr>
            <w:tcW w:w="1418" w:type="dxa"/>
            <w:shd w:val="clear" w:color="auto" w:fill="A6A6A6" w:themeFill="background1" w:themeFillShade="A6"/>
            <w:vAlign w:val="center"/>
            <w:hideMark/>
          </w:tcPr>
          <w:p w14:paraId="04949DC1" w14:textId="35EDB349" w:rsidR="009D4734" w:rsidRPr="00660601" w:rsidRDefault="009D4734" w:rsidP="00660601">
            <w:pPr>
              <w:jc w:val="center"/>
              <w:rPr>
                <w:rFonts w:ascii="Times New Roman" w:hAnsi="Times New Roman" w:cs="Times New Roman"/>
                <w:b/>
                <w:bCs/>
                <w:color w:val="FFFFFF" w:themeColor="background1"/>
                <w:sz w:val="20"/>
                <w:szCs w:val="20"/>
              </w:rPr>
            </w:pPr>
            <w:r w:rsidRPr="00660601">
              <w:rPr>
                <w:rFonts w:ascii="Times New Roman" w:hAnsi="Times New Roman" w:cs="Times New Roman"/>
                <w:b/>
                <w:bCs/>
                <w:color w:val="FFFFFF" w:themeColor="background1"/>
                <w:sz w:val="20"/>
                <w:szCs w:val="20"/>
              </w:rPr>
              <w:t xml:space="preserve"> 990 000,00 </w:t>
            </w:r>
          </w:p>
        </w:tc>
      </w:tr>
      <w:tr w:rsidR="00A916EF" w:rsidRPr="00B9146C" w14:paraId="4DBC1D18" w14:textId="77777777" w:rsidTr="00467260">
        <w:trPr>
          <w:trHeight w:val="864"/>
        </w:trPr>
        <w:tc>
          <w:tcPr>
            <w:tcW w:w="2333" w:type="dxa"/>
            <w:shd w:val="clear" w:color="auto" w:fill="DBDBDB" w:themeFill="accent3" w:themeFillTint="66"/>
            <w:vAlign w:val="center"/>
            <w:hideMark/>
          </w:tcPr>
          <w:p w14:paraId="19EA80BD" w14:textId="77777777" w:rsidR="00487756" w:rsidRPr="00660601" w:rsidRDefault="00487756" w:rsidP="00660601">
            <w:pPr>
              <w:rPr>
                <w:rFonts w:ascii="Times New Roman" w:hAnsi="Times New Roman" w:cs="Times New Roman"/>
                <w:b/>
                <w:bCs/>
                <w:sz w:val="20"/>
                <w:szCs w:val="20"/>
              </w:rPr>
            </w:pPr>
            <w:r w:rsidRPr="00660601">
              <w:rPr>
                <w:rFonts w:ascii="Times New Roman" w:hAnsi="Times New Roman" w:cs="Times New Roman"/>
                <w:b/>
                <w:bCs/>
                <w:sz w:val="20"/>
                <w:szCs w:val="20"/>
              </w:rPr>
              <w:lastRenderedPageBreak/>
              <w:t>Wynagrodzenie pracowników wykonujących merytoryczne zadania bezpośrednio związane z głównymi celami i produktami projektu</w:t>
            </w:r>
          </w:p>
        </w:tc>
        <w:tc>
          <w:tcPr>
            <w:tcW w:w="1353" w:type="dxa"/>
            <w:vAlign w:val="center"/>
            <w:hideMark/>
          </w:tcPr>
          <w:p w14:paraId="54598BAE" w14:textId="601B16E7" w:rsidR="00487756" w:rsidRPr="00EF1726" w:rsidRDefault="00A163C8" w:rsidP="00660601">
            <w:pPr>
              <w:jc w:val="center"/>
              <w:rPr>
                <w:rFonts w:ascii="Times New Roman" w:hAnsi="Times New Roman" w:cs="Times New Roman"/>
                <w:sz w:val="20"/>
                <w:szCs w:val="20"/>
              </w:rPr>
            </w:pPr>
            <w:r w:rsidRPr="00EF1726">
              <w:rPr>
                <w:rFonts w:ascii="Times New Roman" w:hAnsi="Times New Roman" w:cs="Times New Roman"/>
                <w:sz w:val="20"/>
                <w:szCs w:val="20"/>
              </w:rPr>
              <w:t>6 546 880,00</w:t>
            </w:r>
          </w:p>
        </w:tc>
        <w:tc>
          <w:tcPr>
            <w:tcW w:w="1276" w:type="dxa"/>
            <w:vAlign w:val="center"/>
            <w:hideMark/>
          </w:tcPr>
          <w:p w14:paraId="0A5074D2" w14:textId="0A4A8126" w:rsidR="00487756" w:rsidRPr="00EF1726" w:rsidRDefault="000D15C9" w:rsidP="00660601">
            <w:pPr>
              <w:jc w:val="center"/>
              <w:rPr>
                <w:rFonts w:ascii="Times New Roman" w:hAnsi="Times New Roman" w:cs="Times New Roman"/>
                <w:sz w:val="20"/>
                <w:szCs w:val="20"/>
              </w:rPr>
            </w:pPr>
            <w:r w:rsidRPr="00EF1726">
              <w:rPr>
                <w:rFonts w:ascii="Times New Roman" w:hAnsi="Times New Roman" w:cs="Times New Roman"/>
                <w:sz w:val="20"/>
                <w:szCs w:val="20"/>
              </w:rPr>
              <w:t>6 575 680,00</w:t>
            </w:r>
          </w:p>
        </w:tc>
        <w:tc>
          <w:tcPr>
            <w:tcW w:w="1417" w:type="dxa"/>
            <w:vAlign w:val="center"/>
            <w:hideMark/>
          </w:tcPr>
          <w:p w14:paraId="4B9E5143" w14:textId="6749517D" w:rsidR="00487756" w:rsidRPr="00EF1726" w:rsidRDefault="000D15C9" w:rsidP="00660601">
            <w:pPr>
              <w:jc w:val="center"/>
              <w:rPr>
                <w:rFonts w:ascii="Times New Roman" w:hAnsi="Times New Roman" w:cs="Times New Roman"/>
                <w:sz w:val="20"/>
                <w:szCs w:val="20"/>
              </w:rPr>
            </w:pPr>
            <w:r w:rsidRPr="00EF1726">
              <w:rPr>
                <w:rFonts w:ascii="Times New Roman" w:hAnsi="Times New Roman" w:cs="Times New Roman"/>
                <w:sz w:val="20"/>
                <w:szCs w:val="20"/>
              </w:rPr>
              <w:t>7 055 680,00</w:t>
            </w:r>
          </w:p>
        </w:tc>
        <w:tc>
          <w:tcPr>
            <w:tcW w:w="1418" w:type="dxa"/>
            <w:vAlign w:val="center"/>
            <w:hideMark/>
          </w:tcPr>
          <w:p w14:paraId="13A0614B" w14:textId="02C81B94" w:rsidR="00487756" w:rsidRPr="00EF1726" w:rsidRDefault="000D15C9" w:rsidP="00660601">
            <w:pPr>
              <w:jc w:val="center"/>
              <w:rPr>
                <w:rFonts w:ascii="Times New Roman" w:hAnsi="Times New Roman" w:cs="Times New Roman"/>
                <w:sz w:val="20"/>
                <w:szCs w:val="20"/>
              </w:rPr>
            </w:pPr>
            <w:r w:rsidRPr="00EF1726">
              <w:rPr>
                <w:rFonts w:ascii="Times New Roman" w:hAnsi="Times New Roman" w:cs="Times New Roman"/>
                <w:sz w:val="20"/>
                <w:szCs w:val="20"/>
              </w:rPr>
              <w:t>7 055 680,00</w:t>
            </w:r>
          </w:p>
        </w:tc>
        <w:tc>
          <w:tcPr>
            <w:tcW w:w="1417" w:type="dxa"/>
            <w:vAlign w:val="center"/>
            <w:hideMark/>
          </w:tcPr>
          <w:p w14:paraId="0AC12795" w14:textId="51D6B735" w:rsidR="00487756" w:rsidRPr="00EF1726" w:rsidRDefault="000D15C9" w:rsidP="00660601">
            <w:pPr>
              <w:jc w:val="center"/>
              <w:rPr>
                <w:rFonts w:ascii="Times New Roman" w:hAnsi="Times New Roman" w:cs="Times New Roman"/>
                <w:sz w:val="20"/>
                <w:szCs w:val="20"/>
              </w:rPr>
            </w:pPr>
            <w:r w:rsidRPr="00EF1726">
              <w:rPr>
                <w:rFonts w:ascii="Times New Roman" w:hAnsi="Times New Roman" w:cs="Times New Roman"/>
                <w:sz w:val="20"/>
                <w:szCs w:val="20"/>
              </w:rPr>
              <w:t>7 055 680,00</w:t>
            </w:r>
          </w:p>
        </w:tc>
        <w:tc>
          <w:tcPr>
            <w:tcW w:w="1418" w:type="dxa"/>
            <w:shd w:val="clear" w:color="auto" w:fill="A6A6A6" w:themeFill="background1" w:themeFillShade="A6"/>
            <w:vAlign w:val="center"/>
            <w:hideMark/>
          </w:tcPr>
          <w:p w14:paraId="2F182E7C" w14:textId="353F602C" w:rsidR="00487756" w:rsidRPr="008337D4" w:rsidRDefault="000D15C9" w:rsidP="00660601">
            <w:pPr>
              <w:jc w:val="center"/>
              <w:rPr>
                <w:rFonts w:ascii="Times New Roman" w:hAnsi="Times New Roman" w:cs="Times New Roman"/>
                <w:b/>
                <w:bCs/>
                <w:color w:val="FFFFFF" w:themeColor="background1"/>
                <w:sz w:val="20"/>
                <w:szCs w:val="20"/>
              </w:rPr>
            </w:pPr>
            <w:r>
              <w:rPr>
                <w:rFonts w:ascii="Times New Roman" w:hAnsi="Times New Roman" w:cs="Times New Roman"/>
                <w:b/>
                <w:bCs/>
                <w:color w:val="FFFFFF" w:themeColor="background1"/>
                <w:sz w:val="20"/>
                <w:szCs w:val="20"/>
              </w:rPr>
              <w:t>34 289 600,00</w:t>
            </w:r>
          </w:p>
        </w:tc>
      </w:tr>
      <w:tr w:rsidR="00A916EF" w:rsidRPr="00B9146C" w14:paraId="5737F7FE" w14:textId="77777777" w:rsidTr="00467260">
        <w:trPr>
          <w:trHeight w:val="288"/>
        </w:trPr>
        <w:tc>
          <w:tcPr>
            <w:tcW w:w="2333" w:type="dxa"/>
            <w:shd w:val="clear" w:color="auto" w:fill="A6A6A6" w:themeFill="background1" w:themeFillShade="A6"/>
            <w:vAlign w:val="center"/>
            <w:hideMark/>
          </w:tcPr>
          <w:p w14:paraId="44B4F796" w14:textId="77777777" w:rsidR="003F14F3" w:rsidRPr="00B9146C" w:rsidRDefault="003F14F3" w:rsidP="00660601">
            <w:pPr>
              <w:spacing w:before="120" w:after="120"/>
              <w:rPr>
                <w:rFonts w:ascii="Times New Roman" w:hAnsi="Times New Roman" w:cs="Times New Roman"/>
                <w:b/>
                <w:bCs/>
                <w:color w:val="FFFFFF" w:themeColor="background1"/>
                <w:sz w:val="20"/>
                <w:szCs w:val="20"/>
              </w:rPr>
            </w:pPr>
            <w:r w:rsidRPr="00B9146C">
              <w:rPr>
                <w:rFonts w:ascii="Times New Roman" w:hAnsi="Times New Roman" w:cs="Times New Roman"/>
                <w:b/>
                <w:bCs/>
                <w:color w:val="FFFFFF" w:themeColor="background1"/>
                <w:sz w:val="20"/>
                <w:szCs w:val="20"/>
              </w:rPr>
              <w:t>Suma końcowa</w:t>
            </w:r>
          </w:p>
        </w:tc>
        <w:tc>
          <w:tcPr>
            <w:tcW w:w="1353" w:type="dxa"/>
            <w:shd w:val="clear" w:color="auto" w:fill="A6A6A6" w:themeFill="background1" w:themeFillShade="A6"/>
            <w:hideMark/>
          </w:tcPr>
          <w:p w14:paraId="6D8B1579" w14:textId="5B594263" w:rsidR="003F14F3" w:rsidRPr="00B9146C" w:rsidRDefault="000D15C9" w:rsidP="00660601">
            <w:pPr>
              <w:spacing w:before="120" w:after="120"/>
              <w:jc w:val="center"/>
              <w:rPr>
                <w:rFonts w:ascii="Times New Roman" w:hAnsi="Times New Roman" w:cs="Times New Roman"/>
                <w:b/>
                <w:bCs/>
                <w:color w:val="FFFFFF" w:themeColor="background1"/>
                <w:sz w:val="20"/>
                <w:szCs w:val="20"/>
              </w:rPr>
            </w:pPr>
            <w:r>
              <w:rPr>
                <w:rFonts w:ascii="Times New Roman" w:hAnsi="Times New Roman" w:cs="Times New Roman"/>
                <w:b/>
                <w:bCs/>
                <w:color w:val="FFFFFF" w:themeColor="background1"/>
                <w:sz w:val="20"/>
                <w:szCs w:val="20"/>
              </w:rPr>
              <w:t>8 057 880,00</w:t>
            </w:r>
          </w:p>
        </w:tc>
        <w:tc>
          <w:tcPr>
            <w:tcW w:w="1276" w:type="dxa"/>
            <w:shd w:val="clear" w:color="auto" w:fill="A6A6A6" w:themeFill="background1" w:themeFillShade="A6"/>
            <w:hideMark/>
          </w:tcPr>
          <w:p w14:paraId="0BC3B6F3" w14:textId="0A54B7F8" w:rsidR="003F14F3" w:rsidRPr="00B9146C" w:rsidRDefault="000D15C9" w:rsidP="00660601">
            <w:pPr>
              <w:spacing w:before="120" w:after="120"/>
              <w:rPr>
                <w:rFonts w:ascii="Times New Roman" w:hAnsi="Times New Roman" w:cs="Times New Roman"/>
                <w:b/>
                <w:bCs/>
                <w:color w:val="FFFFFF" w:themeColor="background1"/>
                <w:sz w:val="20"/>
                <w:szCs w:val="20"/>
              </w:rPr>
            </w:pPr>
            <w:r>
              <w:rPr>
                <w:rFonts w:ascii="Times New Roman" w:hAnsi="Times New Roman" w:cs="Times New Roman"/>
                <w:b/>
                <w:bCs/>
                <w:color w:val="FFFFFF" w:themeColor="background1"/>
                <w:sz w:val="20"/>
                <w:szCs w:val="20"/>
              </w:rPr>
              <w:t>8 257 680,00</w:t>
            </w:r>
          </w:p>
        </w:tc>
        <w:tc>
          <w:tcPr>
            <w:tcW w:w="1417" w:type="dxa"/>
            <w:shd w:val="clear" w:color="auto" w:fill="A6A6A6" w:themeFill="background1" w:themeFillShade="A6"/>
            <w:hideMark/>
          </w:tcPr>
          <w:p w14:paraId="6E4E42A5" w14:textId="6F225D10" w:rsidR="003F14F3" w:rsidRPr="00B9146C" w:rsidRDefault="000D15C9" w:rsidP="00660601">
            <w:pPr>
              <w:spacing w:before="120" w:after="120"/>
              <w:jc w:val="center"/>
              <w:rPr>
                <w:rFonts w:ascii="Times New Roman" w:hAnsi="Times New Roman" w:cs="Times New Roman"/>
                <w:b/>
                <w:bCs/>
                <w:color w:val="FFFFFF" w:themeColor="background1"/>
                <w:sz w:val="20"/>
                <w:szCs w:val="20"/>
              </w:rPr>
            </w:pPr>
            <w:r>
              <w:rPr>
                <w:rFonts w:ascii="Times New Roman" w:hAnsi="Times New Roman" w:cs="Times New Roman"/>
                <w:b/>
                <w:bCs/>
                <w:color w:val="FFFFFF" w:themeColor="background1"/>
                <w:sz w:val="20"/>
                <w:szCs w:val="20"/>
              </w:rPr>
              <w:t>8 881 180,00</w:t>
            </w:r>
          </w:p>
        </w:tc>
        <w:tc>
          <w:tcPr>
            <w:tcW w:w="1418" w:type="dxa"/>
            <w:shd w:val="clear" w:color="auto" w:fill="A6A6A6" w:themeFill="background1" w:themeFillShade="A6"/>
            <w:hideMark/>
          </w:tcPr>
          <w:p w14:paraId="4B5FA0E3" w14:textId="145922F4" w:rsidR="003F14F3" w:rsidRPr="00B9146C" w:rsidRDefault="000D15C9" w:rsidP="00660601">
            <w:pPr>
              <w:spacing w:before="120" w:after="120"/>
              <w:jc w:val="center"/>
              <w:rPr>
                <w:rFonts w:ascii="Times New Roman" w:hAnsi="Times New Roman" w:cs="Times New Roman"/>
                <w:b/>
                <w:bCs/>
                <w:color w:val="FFFFFF" w:themeColor="background1"/>
                <w:sz w:val="20"/>
                <w:szCs w:val="20"/>
              </w:rPr>
            </w:pPr>
            <w:r>
              <w:rPr>
                <w:rFonts w:ascii="Times New Roman" w:hAnsi="Times New Roman" w:cs="Times New Roman"/>
                <w:b/>
                <w:bCs/>
                <w:color w:val="FFFFFF" w:themeColor="background1"/>
                <w:sz w:val="20"/>
                <w:szCs w:val="20"/>
              </w:rPr>
              <w:t>9 078 180,00</w:t>
            </w:r>
          </w:p>
        </w:tc>
        <w:tc>
          <w:tcPr>
            <w:tcW w:w="1417" w:type="dxa"/>
            <w:shd w:val="clear" w:color="auto" w:fill="A6A6A6" w:themeFill="background1" w:themeFillShade="A6"/>
            <w:hideMark/>
          </w:tcPr>
          <w:p w14:paraId="2EAC0280" w14:textId="6201D36B" w:rsidR="003F14F3" w:rsidRPr="00B9146C" w:rsidRDefault="000D15C9" w:rsidP="00660601">
            <w:pPr>
              <w:spacing w:before="120" w:after="120"/>
              <w:jc w:val="center"/>
              <w:rPr>
                <w:rFonts w:ascii="Times New Roman" w:hAnsi="Times New Roman" w:cs="Times New Roman"/>
                <w:b/>
                <w:bCs/>
                <w:color w:val="FFFFFF" w:themeColor="background1"/>
                <w:sz w:val="20"/>
                <w:szCs w:val="20"/>
              </w:rPr>
            </w:pPr>
            <w:r>
              <w:rPr>
                <w:rFonts w:ascii="Times New Roman" w:hAnsi="Times New Roman" w:cs="Times New Roman"/>
                <w:b/>
                <w:bCs/>
                <w:color w:val="FFFFFF" w:themeColor="background1"/>
                <w:sz w:val="20"/>
                <w:szCs w:val="20"/>
              </w:rPr>
              <w:t>9 005 680,00</w:t>
            </w:r>
          </w:p>
        </w:tc>
        <w:tc>
          <w:tcPr>
            <w:tcW w:w="1418" w:type="dxa"/>
            <w:shd w:val="clear" w:color="auto" w:fill="A6A6A6" w:themeFill="background1" w:themeFillShade="A6"/>
            <w:hideMark/>
          </w:tcPr>
          <w:p w14:paraId="17E8C0C5" w14:textId="7B18934C" w:rsidR="003F14F3" w:rsidRPr="00B9146C" w:rsidRDefault="00D77AB3" w:rsidP="00660601">
            <w:pPr>
              <w:spacing w:before="120" w:after="120"/>
              <w:jc w:val="center"/>
              <w:rPr>
                <w:rFonts w:ascii="Times New Roman" w:hAnsi="Times New Roman" w:cs="Times New Roman"/>
                <w:b/>
                <w:bCs/>
                <w:color w:val="FFFFFF" w:themeColor="background1"/>
                <w:sz w:val="20"/>
                <w:szCs w:val="20"/>
              </w:rPr>
            </w:pPr>
            <w:r>
              <w:rPr>
                <w:rFonts w:ascii="Times New Roman" w:hAnsi="Times New Roman" w:cs="Times New Roman"/>
                <w:b/>
                <w:bCs/>
                <w:color w:val="FFFFFF" w:themeColor="background1"/>
                <w:sz w:val="20"/>
                <w:szCs w:val="20"/>
              </w:rPr>
              <w:t>43 280 600,00</w:t>
            </w:r>
          </w:p>
        </w:tc>
      </w:tr>
    </w:tbl>
    <w:p w14:paraId="31A19170" w14:textId="2E3648C7" w:rsidR="00101A64" w:rsidRPr="00B9146C" w:rsidRDefault="00101A64">
      <w:pPr>
        <w:rPr>
          <w:rFonts w:ascii="Times New Roman" w:hAnsi="Times New Roman" w:cs="Times New Roman"/>
          <w:b/>
          <w:bCs/>
        </w:rPr>
      </w:pPr>
    </w:p>
    <w:p w14:paraId="2982BCB0" w14:textId="64F990CC" w:rsidR="009A1121" w:rsidRPr="00B9146C" w:rsidRDefault="009A1121" w:rsidP="009A1121">
      <w:pPr>
        <w:pStyle w:val="Akapitzlist"/>
        <w:numPr>
          <w:ilvl w:val="1"/>
          <w:numId w:val="1"/>
        </w:numPr>
        <w:rPr>
          <w:rFonts w:ascii="Times New Roman" w:hAnsi="Times New Roman" w:cs="Times New Roman"/>
          <w:b/>
          <w:bCs/>
        </w:rPr>
      </w:pPr>
      <w:r w:rsidRPr="00B9146C">
        <w:rPr>
          <w:rFonts w:ascii="Times New Roman" w:hAnsi="Times New Roman" w:cs="Times New Roman"/>
          <w:b/>
          <w:bCs/>
        </w:rPr>
        <w:t>Uszczegółowienie kategorii wydatków/ przyjęte założenia</w:t>
      </w:r>
    </w:p>
    <w:tbl>
      <w:tblPr>
        <w:tblStyle w:val="Tabela-Siatka"/>
        <w:tblW w:w="10490" w:type="dxa"/>
        <w:tblInd w:w="-714" w:type="dxa"/>
        <w:tblLayout w:type="fixed"/>
        <w:tblLook w:val="04A0" w:firstRow="1" w:lastRow="0" w:firstColumn="1" w:lastColumn="0" w:noHBand="0" w:noVBand="1"/>
      </w:tblPr>
      <w:tblGrid>
        <w:gridCol w:w="1425"/>
        <w:gridCol w:w="1269"/>
        <w:gridCol w:w="7796"/>
      </w:tblGrid>
      <w:tr w:rsidR="00335979" w:rsidRPr="00B5006E" w14:paraId="0134FA50" w14:textId="28841956" w:rsidTr="00694876">
        <w:tc>
          <w:tcPr>
            <w:tcW w:w="1425" w:type="dxa"/>
            <w:shd w:val="clear" w:color="auto" w:fill="D9D9D9" w:themeFill="background1" w:themeFillShade="D9"/>
            <w:vAlign w:val="center"/>
          </w:tcPr>
          <w:p w14:paraId="66F3E0CF" w14:textId="54B31E93" w:rsidR="009A1121" w:rsidRPr="00694876" w:rsidRDefault="009A1121" w:rsidP="009A1121">
            <w:pPr>
              <w:jc w:val="both"/>
              <w:rPr>
                <w:rFonts w:ascii="Times New Roman" w:hAnsi="Times New Roman" w:cs="Times New Roman"/>
                <w:b/>
                <w:bCs/>
                <w:sz w:val="16"/>
                <w:szCs w:val="16"/>
              </w:rPr>
            </w:pPr>
            <w:r w:rsidRPr="00694876">
              <w:rPr>
                <w:rFonts w:ascii="Times New Roman" w:hAnsi="Times New Roman" w:cs="Times New Roman"/>
                <w:b/>
                <w:bCs/>
                <w:sz w:val="16"/>
                <w:szCs w:val="16"/>
              </w:rPr>
              <w:t>Kategoria wydatku</w:t>
            </w:r>
          </w:p>
        </w:tc>
        <w:tc>
          <w:tcPr>
            <w:tcW w:w="1269" w:type="dxa"/>
            <w:shd w:val="clear" w:color="auto" w:fill="D9D9D9" w:themeFill="background1" w:themeFillShade="D9"/>
            <w:vAlign w:val="center"/>
          </w:tcPr>
          <w:p w14:paraId="35044E1A" w14:textId="368B1C47" w:rsidR="009A1121" w:rsidRPr="00694876" w:rsidRDefault="009A1121" w:rsidP="009A1121">
            <w:pPr>
              <w:jc w:val="center"/>
              <w:rPr>
                <w:rFonts w:ascii="Times New Roman" w:hAnsi="Times New Roman" w:cs="Times New Roman"/>
                <w:b/>
                <w:bCs/>
                <w:sz w:val="16"/>
                <w:szCs w:val="16"/>
              </w:rPr>
            </w:pPr>
            <w:r w:rsidRPr="00694876">
              <w:rPr>
                <w:rFonts w:ascii="Times New Roman" w:hAnsi="Times New Roman" w:cs="Times New Roman"/>
                <w:b/>
                <w:bCs/>
                <w:sz w:val="16"/>
                <w:szCs w:val="16"/>
              </w:rPr>
              <w:t>Szacunkowy koszt w okresie 2024-2028</w:t>
            </w:r>
          </w:p>
        </w:tc>
        <w:tc>
          <w:tcPr>
            <w:tcW w:w="7796" w:type="dxa"/>
            <w:shd w:val="clear" w:color="auto" w:fill="D9D9D9" w:themeFill="background1" w:themeFillShade="D9"/>
            <w:vAlign w:val="center"/>
          </w:tcPr>
          <w:p w14:paraId="6ECCCD0F" w14:textId="5FCA37CE" w:rsidR="009A1121" w:rsidRPr="00B5006E" w:rsidRDefault="00D92B49" w:rsidP="009A1121">
            <w:pPr>
              <w:jc w:val="both"/>
              <w:rPr>
                <w:rFonts w:ascii="Times New Roman" w:hAnsi="Times New Roman" w:cs="Times New Roman"/>
                <w:b/>
                <w:bCs/>
                <w:sz w:val="16"/>
                <w:szCs w:val="16"/>
              </w:rPr>
            </w:pPr>
            <w:r w:rsidRPr="00B5006E">
              <w:rPr>
                <w:rFonts w:ascii="Times New Roman" w:hAnsi="Times New Roman" w:cs="Times New Roman"/>
                <w:b/>
                <w:bCs/>
                <w:sz w:val="16"/>
                <w:szCs w:val="16"/>
              </w:rPr>
              <w:t>Uszczegółowienie wraz z opisem głównych założeń</w:t>
            </w:r>
          </w:p>
        </w:tc>
      </w:tr>
      <w:tr w:rsidR="00335979" w:rsidRPr="00B5006E" w14:paraId="28B1F07F" w14:textId="4AA6A04C" w:rsidTr="00694876">
        <w:tc>
          <w:tcPr>
            <w:tcW w:w="1425" w:type="dxa"/>
            <w:shd w:val="clear" w:color="auto" w:fill="D9D9D9" w:themeFill="background1" w:themeFillShade="D9"/>
            <w:vAlign w:val="center"/>
          </w:tcPr>
          <w:p w14:paraId="687391BF" w14:textId="1B8579CC" w:rsidR="009A1121" w:rsidRPr="00694876" w:rsidRDefault="009A1121" w:rsidP="009A1121">
            <w:pPr>
              <w:jc w:val="both"/>
              <w:rPr>
                <w:rFonts w:ascii="Times New Roman" w:hAnsi="Times New Roman" w:cs="Times New Roman"/>
                <w:sz w:val="16"/>
                <w:szCs w:val="16"/>
              </w:rPr>
            </w:pPr>
            <w:r w:rsidRPr="00694876">
              <w:rPr>
                <w:rFonts w:ascii="Times New Roman" w:hAnsi="Times New Roman" w:cs="Times New Roman"/>
                <w:b/>
                <w:bCs/>
                <w:sz w:val="16"/>
                <w:szCs w:val="16"/>
              </w:rPr>
              <w:t>Informacje i promocja</w:t>
            </w:r>
          </w:p>
        </w:tc>
        <w:tc>
          <w:tcPr>
            <w:tcW w:w="1269" w:type="dxa"/>
            <w:shd w:val="clear" w:color="auto" w:fill="D9D9D9" w:themeFill="background1" w:themeFillShade="D9"/>
            <w:vAlign w:val="center"/>
          </w:tcPr>
          <w:p w14:paraId="34AB3F8E" w14:textId="0CE93717" w:rsidR="009A1121" w:rsidRPr="00694876" w:rsidRDefault="009A1121" w:rsidP="009A1121">
            <w:pPr>
              <w:jc w:val="center"/>
              <w:rPr>
                <w:rFonts w:ascii="Times New Roman" w:hAnsi="Times New Roman" w:cs="Times New Roman"/>
                <w:sz w:val="16"/>
                <w:szCs w:val="16"/>
              </w:rPr>
            </w:pPr>
            <w:r w:rsidRPr="00694876">
              <w:rPr>
                <w:rFonts w:ascii="Times New Roman" w:hAnsi="Times New Roman" w:cs="Times New Roman"/>
                <w:b/>
                <w:bCs/>
                <w:sz w:val="16"/>
                <w:szCs w:val="16"/>
              </w:rPr>
              <w:t>0</w:t>
            </w:r>
          </w:p>
        </w:tc>
        <w:tc>
          <w:tcPr>
            <w:tcW w:w="7796" w:type="dxa"/>
            <w:shd w:val="clear" w:color="auto" w:fill="D9D9D9" w:themeFill="background1" w:themeFillShade="D9"/>
          </w:tcPr>
          <w:p w14:paraId="75605102" w14:textId="4E533FAF" w:rsidR="00A54721" w:rsidRPr="00B5006E" w:rsidRDefault="00A54721" w:rsidP="009A1121">
            <w:pPr>
              <w:jc w:val="both"/>
              <w:rPr>
                <w:rFonts w:ascii="Times New Roman" w:hAnsi="Times New Roman" w:cs="Times New Roman"/>
                <w:sz w:val="16"/>
                <w:szCs w:val="16"/>
              </w:rPr>
            </w:pPr>
            <w:r w:rsidRPr="00B5006E">
              <w:rPr>
                <w:rFonts w:ascii="Times New Roman" w:hAnsi="Times New Roman" w:cs="Times New Roman"/>
                <w:sz w:val="16"/>
                <w:szCs w:val="16"/>
              </w:rPr>
              <w:t xml:space="preserve">W okresie utrzymania </w:t>
            </w:r>
            <w:r w:rsidR="003A4BB9" w:rsidRPr="00B5006E">
              <w:rPr>
                <w:rFonts w:ascii="Times New Roman" w:hAnsi="Times New Roman" w:cs="Times New Roman"/>
                <w:sz w:val="16"/>
                <w:szCs w:val="16"/>
              </w:rPr>
              <w:t xml:space="preserve">trwałości </w:t>
            </w:r>
            <w:r w:rsidRPr="00B5006E">
              <w:rPr>
                <w:rFonts w:ascii="Times New Roman" w:hAnsi="Times New Roman" w:cs="Times New Roman"/>
                <w:sz w:val="16"/>
                <w:szCs w:val="16"/>
              </w:rPr>
              <w:t xml:space="preserve">projektu nie przewiduje się ponoszenia </w:t>
            </w:r>
            <w:r w:rsidR="00154229" w:rsidRPr="00B5006E">
              <w:rPr>
                <w:rFonts w:ascii="Times New Roman" w:hAnsi="Times New Roman" w:cs="Times New Roman"/>
                <w:sz w:val="16"/>
                <w:szCs w:val="16"/>
              </w:rPr>
              <w:t xml:space="preserve">wydatków </w:t>
            </w:r>
            <w:r w:rsidRPr="00B5006E">
              <w:rPr>
                <w:rFonts w:ascii="Times New Roman" w:hAnsi="Times New Roman" w:cs="Times New Roman"/>
                <w:sz w:val="16"/>
                <w:szCs w:val="16"/>
              </w:rPr>
              <w:t>na działania informacyjno-promocyjne</w:t>
            </w:r>
          </w:p>
        </w:tc>
      </w:tr>
      <w:tr w:rsidR="00335979" w:rsidRPr="00B5006E" w14:paraId="09A823CC" w14:textId="305DE530" w:rsidTr="00694876">
        <w:tc>
          <w:tcPr>
            <w:tcW w:w="1425" w:type="dxa"/>
            <w:shd w:val="clear" w:color="auto" w:fill="D9D9D9" w:themeFill="background1" w:themeFillShade="D9"/>
            <w:vAlign w:val="center"/>
          </w:tcPr>
          <w:p w14:paraId="4D63FDAB" w14:textId="6A9E5243" w:rsidR="009A1121" w:rsidRPr="00694876" w:rsidRDefault="009A1121" w:rsidP="009A1121">
            <w:pPr>
              <w:jc w:val="both"/>
              <w:rPr>
                <w:rFonts w:ascii="Times New Roman" w:hAnsi="Times New Roman" w:cs="Times New Roman"/>
                <w:sz w:val="16"/>
                <w:szCs w:val="16"/>
              </w:rPr>
            </w:pPr>
            <w:r w:rsidRPr="00694876">
              <w:rPr>
                <w:rFonts w:ascii="Times New Roman" w:hAnsi="Times New Roman" w:cs="Times New Roman"/>
                <w:b/>
                <w:bCs/>
                <w:sz w:val="16"/>
                <w:szCs w:val="16"/>
              </w:rPr>
              <w:t>Oprogramowanie</w:t>
            </w:r>
          </w:p>
        </w:tc>
        <w:tc>
          <w:tcPr>
            <w:tcW w:w="1269" w:type="dxa"/>
            <w:shd w:val="clear" w:color="auto" w:fill="D9D9D9" w:themeFill="background1" w:themeFillShade="D9"/>
            <w:vAlign w:val="center"/>
          </w:tcPr>
          <w:p w14:paraId="1007788B" w14:textId="39AEAB51" w:rsidR="009A1121" w:rsidRPr="00694876" w:rsidRDefault="00D65878" w:rsidP="009A1121">
            <w:pPr>
              <w:jc w:val="center"/>
              <w:rPr>
                <w:rFonts w:ascii="Times New Roman" w:hAnsi="Times New Roman" w:cs="Times New Roman"/>
                <w:sz w:val="16"/>
                <w:szCs w:val="16"/>
              </w:rPr>
            </w:pPr>
            <w:r>
              <w:rPr>
                <w:rFonts w:ascii="Times New Roman" w:hAnsi="Times New Roman" w:cs="Times New Roman"/>
                <w:b/>
                <w:bCs/>
                <w:sz w:val="16"/>
                <w:szCs w:val="16"/>
              </w:rPr>
              <w:t>975.000,00</w:t>
            </w:r>
          </w:p>
        </w:tc>
        <w:tc>
          <w:tcPr>
            <w:tcW w:w="7796" w:type="dxa"/>
            <w:shd w:val="clear" w:color="auto" w:fill="auto"/>
          </w:tcPr>
          <w:p w14:paraId="4D0DE1BE" w14:textId="51DC083D" w:rsidR="004F41EB" w:rsidRPr="00FE6D80" w:rsidRDefault="00154229" w:rsidP="004557F1">
            <w:pPr>
              <w:spacing w:before="120" w:after="120"/>
              <w:jc w:val="both"/>
              <w:rPr>
                <w:rFonts w:ascii="Times New Roman" w:hAnsi="Times New Roman" w:cs="Times New Roman"/>
                <w:sz w:val="16"/>
                <w:szCs w:val="16"/>
              </w:rPr>
            </w:pPr>
            <w:r w:rsidRPr="00FE6D80">
              <w:rPr>
                <w:rFonts w:ascii="Times New Roman" w:hAnsi="Times New Roman" w:cs="Times New Roman"/>
                <w:sz w:val="16"/>
                <w:szCs w:val="16"/>
              </w:rPr>
              <w:t xml:space="preserve">W okresie utrzymania </w:t>
            </w:r>
            <w:r w:rsidR="003A4BB9" w:rsidRPr="00FE6D80">
              <w:rPr>
                <w:rFonts w:ascii="Times New Roman" w:hAnsi="Times New Roman" w:cs="Times New Roman"/>
                <w:sz w:val="16"/>
                <w:szCs w:val="16"/>
              </w:rPr>
              <w:t xml:space="preserve">trwałości </w:t>
            </w:r>
            <w:r w:rsidRPr="00FE6D80">
              <w:rPr>
                <w:rFonts w:ascii="Times New Roman" w:hAnsi="Times New Roman" w:cs="Times New Roman"/>
                <w:sz w:val="16"/>
                <w:szCs w:val="16"/>
              </w:rPr>
              <w:t xml:space="preserve">projektu przewiduje się ponoszenie wydatków na </w:t>
            </w:r>
            <w:r w:rsidR="001727D2" w:rsidRPr="00FE6D80">
              <w:rPr>
                <w:rFonts w:ascii="Times New Roman" w:hAnsi="Times New Roman" w:cs="Times New Roman"/>
                <w:sz w:val="16"/>
                <w:szCs w:val="16"/>
              </w:rPr>
              <w:t>zakup gotowych rozwiązań programistycznych (licencje produkty) niezbędnych do</w:t>
            </w:r>
            <w:r w:rsidR="00AA69F8" w:rsidRPr="00FE6D80">
              <w:rPr>
                <w:rFonts w:ascii="Times New Roman" w:hAnsi="Times New Roman" w:cs="Times New Roman"/>
                <w:sz w:val="16"/>
                <w:szCs w:val="16"/>
              </w:rPr>
              <w:t xml:space="preserve"> realizacji</w:t>
            </w:r>
            <w:r w:rsidR="001727D2" w:rsidRPr="00FE6D80">
              <w:rPr>
                <w:rFonts w:ascii="Times New Roman" w:hAnsi="Times New Roman" w:cs="Times New Roman"/>
                <w:sz w:val="16"/>
                <w:szCs w:val="16"/>
              </w:rPr>
              <w:t xml:space="preserve"> zwykłych prac programistycznych</w:t>
            </w:r>
            <w:r w:rsidR="009D132F" w:rsidRPr="00FE6D80">
              <w:rPr>
                <w:rFonts w:ascii="Times New Roman" w:hAnsi="Times New Roman" w:cs="Times New Roman"/>
                <w:sz w:val="16"/>
                <w:szCs w:val="16"/>
              </w:rPr>
              <w:t xml:space="preserve"> -</w:t>
            </w:r>
            <w:r w:rsidR="00A269AA" w:rsidRPr="00FE6D80">
              <w:rPr>
                <w:rFonts w:ascii="Times New Roman" w:hAnsi="Times New Roman" w:cs="Times New Roman"/>
                <w:sz w:val="16"/>
                <w:szCs w:val="16"/>
              </w:rPr>
              <w:t xml:space="preserve"> </w:t>
            </w:r>
            <w:r w:rsidR="00AA69F8" w:rsidRPr="00FE6D80">
              <w:rPr>
                <w:rFonts w:ascii="Times New Roman" w:hAnsi="Times New Roman" w:cs="Times New Roman"/>
                <w:sz w:val="16"/>
                <w:szCs w:val="16"/>
              </w:rPr>
              <w:t xml:space="preserve">m.in. </w:t>
            </w:r>
            <w:r w:rsidR="001C7B34" w:rsidRPr="00FE6D80">
              <w:rPr>
                <w:rFonts w:ascii="Times New Roman" w:hAnsi="Times New Roman" w:cs="Times New Roman"/>
                <w:sz w:val="16"/>
                <w:szCs w:val="16"/>
              </w:rPr>
              <w:t>oprogramowani</w:t>
            </w:r>
            <w:r w:rsidR="00AA69F8" w:rsidRPr="00FE6D80">
              <w:rPr>
                <w:rFonts w:ascii="Times New Roman" w:hAnsi="Times New Roman" w:cs="Times New Roman"/>
                <w:sz w:val="16"/>
                <w:szCs w:val="16"/>
              </w:rPr>
              <w:t>e</w:t>
            </w:r>
            <w:r w:rsidR="001C7B34" w:rsidRPr="00FE6D80">
              <w:rPr>
                <w:rFonts w:ascii="Times New Roman" w:hAnsi="Times New Roman" w:cs="Times New Roman"/>
                <w:sz w:val="16"/>
                <w:szCs w:val="16"/>
              </w:rPr>
              <w:t>/ licencj</w:t>
            </w:r>
            <w:r w:rsidR="00AA69F8" w:rsidRPr="00FE6D80">
              <w:rPr>
                <w:rFonts w:ascii="Times New Roman" w:hAnsi="Times New Roman" w:cs="Times New Roman"/>
                <w:sz w:val="16"/>
                <w:szCs w:val="16"/>
              </w:rPr>
              <w:t>e</w:t>
            </w:r>
            <w:r w:rsidR="00BF637B" w:rsidRPr="00FE6D80">
              <w:rPr>
                <w:rFonts w:ascii="Times New Roman" w:hAnsi="Times New Roman" w:cs="Times New Roman"/>
                <w:sz w:val="16"/>
                <w:szCs w:val="16"/>
              </w:rPr>
              <w:t>/ subskrypcj</w:t>
            </w:r>
            <w:r w:rsidR="00AA69F8" w:rsidRPr="00FE6D80">
              <w:rPr>
                <w:rFonts w:ascii="Times New Roman" w:hAnsi="Times New Roman" w:cs="Times New Roman"/>
                <w:sz w:val="16"/>
                <w:szCs w:val="16"/>
              </w:rPr>
              <w:t>e</w:t>
            </w:r>
            <w:r w:rsidR="001C7B34" w:rsidRPr="00FE6D80">
              <w:rPr>
                <w:rFonts w:ascii="Times New Roman" w:hAnsi="Times New Roman" w:cs="Times New Roman"/>
                <w:sz w:val="16"/>
                <w:szCs w:val="16"/>
              </w:rPr>
              <w:t xml:space="preserve"> dla </w:t>
            </w:r>
            <w:r w:rsidR="00FA4FF3" w:rsidRPr="00FE6D80">
              <w:rPr>
                <w:rFonts w:ascii="Times New Roman" w:hAnsi="Times New Roman" w:cs="Times New Roman"/>
                <w:sz w:val="16"/>
                <w:szCs w:val="16"/>
              </w:rPr>
              <w:t>pracowników zajmujących się utrzymaniem usług</w:t>
            </w:r>
            <w:r w:rsidR="0001177F" w:rsidRPr="00FE6D80">
              <w:rPr>
                <w:rFonts w:ascii="Times New Roman" w:hAnsi="Times New Roman" w:cs="Times New Roman"/>
                <w:sz w:val="16"/>
                <w:szCs w:val="16"/>
              </w:rPr>
              <w:t>, w ty</w:t>
            </w:r>
            <w:r w:rsidR="008F3BA3" w:rsidRPr="00FE6D80">
              <w:rPr>
                <w:rFonts w:ascii="Times New Roman" w:hAnsi="Times New Roman" w:cs="Times New Roman"/>
                <w:sz w:val="16"/>
                <w:szCs w:val="16"/>
              </w:rPr>
              <w:t xml:space="preserve">m </w:t>
            </w:r>
            <w:proofErr w:type="spellStart"/>
            <w:r w:rsidR="0095002E" w:rsidRPr="00FE6D80">
              <w:rPr>
                <w:rFonts w:ascii="Times New Roman" w:hAnsi="Times New Roman" w:cs="Times New Roman"/>
                <w:sz w:val="16"/>
                <w:szCs w:val="16"/>
              </w:rPr>
              <w:t>IntelliJ</w:t>
            </w:r>
            <w:proofErr w:type="spellEnd"/>
            <w:r w:rsidR="0095002E" w:rsidRPr="00FE6D80">
              <w:rPr>
                <w:rFonts w:ascii="Times New Roman" w:hAnsi="Times New Roman" w:cs="Times New Roman"/>
                <w:sz w:val="16"/>
                <w:szCs w:val="16"/>
              </w:rPr>
              <w:t xml:space="preserve">, </w:t>
            </w:r>
            <w:proofErr w:type="spellStart"/>
            <w:r w:rsidR="0095002E" w:rsidRPr="00FE6D80">
              <w:rPr>
                <w:rFonts w:ascii="Times New Roman" w:hAnsi="Times New Roman" w:cs="Times New Roman"/>
                <w:sz w:val="16"/>
                <w:szCs w:val="16"/>
              </w:rPr>
              <w:t>Bitbucket</w:t>
            </w:r>
            <w:proofErr w:type="spellEnd"/>
            <w:r w:rsidR="0095002E" w:rsidRPr="00FE6D80">
              <w:rPr>
                <w:rFonts w:ascii="Times New Roman" w:hAnsi="Times New Roman" w:cs="Times New Roman"/>
                <w:sz w:val="16"/>
                <w:szCs w:val="16"/>
              </w:rPr>
              <w:t xml:space="preserve">, </w:t>
            </w:r>
            <w:proofErr w:type="spellStart"/>
            <w:r w:rsidR="0095002E" w:rsidRPr="00FE6D80">
              <w:rPr>
                <w:rFonts w:ascii="Times New Roman" w:hAnsi="Times New Roman" w:cs="Times New Roman"/>
                <w:sz w:val="16"/>
                <w:szCs w:val="16"/>
              </w:rPr>
              <w:t>Jira</w:t>
            </w:r>
            <w:proofErr w:type="spellEnd"/>
            <w:r w:rsidR="0095002E" w:rsidRPr="00FE6D80">
              <w:rPr>
                <w:rFonts w:ascii="Times New Roman" w:hAnsi="Times New Roman" w:cs="Times New Roman"/>
                <w:sz w:val="16"/>
                <w:szCs w:val="16"/>
              </w:rPr>
              <w:t xml:space="preserve">, </w:t>
            </w:r>
            <w:proofErr w:type="spellStart"/>
            <w:r w:rsidR="0095002E" w:rsidRPr="00FE6D80">
              <w:rPr>
                <w:rFonts w:ascii="Times New Roman" w:hAnsi="Times New Roman" w:cs="Times New Roman"/>
                <w:sz w:val="16"/>
                <w:szCs w:val="16"/>
              </w:rPr>
              <w:t>SonarQube</w:t>
            </w:r>
            <w:proofErr w:type="spellEnd"/>
            <w:r w:rsidR="0095002E" w:rsidRPr="00FE6D80">
              <w:rPr>
                <w:rFonts w:ascii="Times New Roman" w:hAnsi="Times New Roman" w:cs="Times New Roman"/>
                <w:sz w:val="16"/>
                <w:szCs w:val="16"/>
              </w:rPr>
              <w:t xml:space="preserve">, </w:t>
            </w:r>
            <w:proofErr w:type="spellStart"/>
            <w:r w:rsidR="0095002E" w:rsidRPr="00FE6D80">
              <w:rPr>
                <w:rFonts w:ascii="Times New Roman" w:hAnsi="Times New Roman" w:cs="Times New Roman"/>
                <w:sz w:val="16"/>
                <w:szCs w:val="16"/>
              </w:rPr>
              <w:t>Figma</w:t>
            </w:r>
            <w:proofErr w:type="spellEnd"/>
            <w:r w:rsidR="0095002E" w:rsidRPr="00FE6D80">
              <w:rPr>
                <w:rFonts w:ascii="Times New Roman" w:hAnsi="Times New Roman" w:cs="Times New Roman"/>
                <w:sz w:val="16"/>
                <w:szCs w:val="16"/>
              </w:rPr>
              <w:t xml:space="preserve">, </w:t>
            </w:r>
            <w:r w:rsidR="00A41570" w:rsidRPr="00FE6D80">
              <w:rPr>
                <w:rFonts w:ascii="Times New Roman" w:hAnsi="Times New Roman" w:cs="Times New Roman"/>
                <w:sz w:val="16"/>
                <w:szCs w:val="16"/>
              </w:rPr>
              <w:t>inne –</w:t>
            </w:r>
            <w:r w:rsidR="00A32B1F" w:rsidRPr="00FE6D80">
              <w:rPr>
                <w:rFonts w:ascii="Times New Roman" w:hAnsi="Times New Roman" w:cs="Times New Roman"/>
                <w:sz w:val="16"/>
                <w:szCs w:val="16"/>
              </w:rPr>
              <w:t xml:space="preserve"> </w:t>
            </w:r>
            <w:r w:rsidR="00A41570" w:rsidRPr="00FE6D80">
              <w:rPr>
                <w:rFonts w:ascii="Times New Roman" w:hAnsi="Times New Roman" w:cs="Times New Roman"/>
                <w:sz w:val="16"/>
                <w:szCs w:val="16"/>
              </w:rPr>
              <w:t>oszacowanie wg stawek rynkowych</w:t>
            </w:r>
            <w:r w:rsidR="0001177F" w:rsidRPr="00FE6D80">
              <w:rPr>
                <w:rFonts w:ascii="Times New Roman" w:hAnsi="Times New Roman" w:cs="Times New Roman"/>
                <w:sz w:val="16"/>
                <w:szCs w:val="16"/>
              </w:rPr>
              <w:t xml:space="preserve"> </w:t>
            </w:r>
            <w:r w:rsidR="009C785F" w:rsidRPr="00FE6D80">
              <w:rPr>
                <w:rFonts w:ascii="Times New Roman" w:hAnsi="Times New Roman" w:cs="Times New Roman"/>
                <w:sz w:val="16"/>
                <w:szCs w:val="16"/>
              </w:rPr>
              <w:t>na potrzeby zespołu IT oraz zespołu merytorycznego</w:t>
            </w:r>
            <w:r w:rsidR="002D13B6" w:rsidRPr="00FE6D80">
              <w:rPr>
                <w:rFonts w:ascii="Times New Roman" w:hAnsi="Times New Roman" w:cs="Times New Roman"/>
                <w:sz w:val="16"/>
                <w:szCs w:val="16"/>
              </w:rPr>
              <w:t xml:space="preserve">. Uwzględniając rosnący popyt </w:t>
            </w:r>
            <w:r w:rsidR="00241B51" w:rsidRPr="00FE6D80">
              <w:rPr>
                <w:rFonts w:ascii="Times New Roman" w:hAnsi="Times New Roman" w:cs="Times New Roman"/>
                <w:sz w:val="16"/>
                <w:szCs w:val="16"/>
              </w:rPr>
              <w:t>na usługi, przewiduje się, że</w:t>
            </w:r>
            <w:r w:rsidR="002D13B6" w:rsidRPr="00FE6D80">
              <w:rPr>
                <w:rFonts w:ascii="Times New Roman" w:hAnsi="Times New Roman" w:cs="Times New Roman"/>
                <w:sz w:val="16"/>
                <w:szCs w:val="16"/>
              </w:rPr>
              <w:t xml:space="preserve"> </w:t>
            </w:r>
            <w:r w:rsidR="00241B51" w:rsidRPr="00FE6D80">
              <w:rPr>
                <w:rFonts w:ascii="Times New Roman" w:hAnsi="Times New Roman" w:cs="Times New Roman"/>
                <w:sz w:val="16"/>
                <w:szCs w:val="16"/>
              </w:rPr>
              <w:t xml:space="preserve">w 4. i 5. roku okresu utrzymania </w:t>
            </w:r>
            <w:r w:rsidR="003A4BB9" w:rsidRPr="00FE6D80">
              <w:rPr>
                <w:rFonts w:ascii="Times New Roman" w:hAnsi="Times New Roman" w:cs="Times New Roman"/>
                <w:sz w:val="16"/>
                <w:szCs w:val="16"/>
              </w:rPr>
              <w:t>trwałości</w:t>
            </w:r>
            <w:r w:rsidR="00241B51" w:rsidRPr="00FE6D80">
              <w:rPr>
                <w:rFonts w:ascii="Times New Roman" w:hAnsi="Times New Roman" w:cs="Times New Roman"/>
                <w:sz w:val="16"/>
                <w:szCs w:val="16"/>
              </w:rPr>
              <w:t xml:space="preserve"> </w:t>
            </w:r>
            <w:r w:rsidR="00247BBD" w:rsidRPr="00FE6D80">
              <w:rPr>
                <w:rFonts w:ascii="Times New Roman" w:hAnsi="Times New Roman" w:cs="Times New Roman"/>
                <w:sz w:val="16"/>
                <w:szCs w:val="16"/>
              </w:rPr>
              <w:t>projektu niezbędne będzie przeprowadzenie dodatkowych prac, które wyma</w:t>
            </w:r>
            <w:r w:rsidR="002D3AF7" w:rsidRPr="00FE6D80">
              <w:rPr>
                <w:rFonts w:ascii="Times New Roman" w:hAnsi="Times New Roman" w:cs="Times New Roman"/>
                <w:sz w:val="16"/>
                <w:szCs w:val="16"/>
              </w:rPr>
              <w:t>gać będą zwiększonych nakładów na oprogramowanie</w:t>
            </w:r>
            <w:r w:rsidR="00FA70FB" w:rsidRPr="00FE6D80">
              <w:rPr>
                <w:rFonts w:ascii="Times New Roman" w:hAnsi="Times New Roman" w:cs="Times New Roman"/>
                <w:sz w:val="16"/>
                <w:szCs w:val="16"/>
              </w:rPr>
              <w:t xml:space="preserve">. </w:t>
            </w:r>
            <w:r w:rsidR="00FA70FB" w:rsidRPr="004557F1">
              <w:rPr>
                <w:rFonts w:ascii="Times New Roman" w:hAnsi="Times New Roman" w:cs="Times New Roman"/>
                <w:sz w:val="16"/>
                <w:szCs w:val="16"/>
              </w:rPr>
              <w:t>W</w:t>
            </w:r>
            <w:r w:rsidR="00107B90" w:rsidRPr="004557F1">
              <w:rPr>
                <w:rFonts w:ascii="Times New Roman" w:hAnsi="Times New Roman" w:cs="Times New Roman"/>
                <w:sz w:val="16"/>
                <w:szCs w:val="16"/>
              </w:rPr>
              <w:t xml:space="preserve"> </w:t>
            </w:r>
            <w:r w:rsidR="007A2A70" w:rsidRPr="004557F1">
              <w:rPr>
                <w:rFonts w:ascii="Times New Roman" w:hAnsi="Times New Roman" w:cs="Times New Roman"/>
                <w:sz w:val="16"/>
                <w:szCs w:val="16"/>
              </w:rPr>
              <w:t>związku z koniecznością ograniczenia kosztów, zwiększone zapotrzebowanie na oprogramowanie będzie zaspokajane rozwiązaniami Open Source.</w:t>
            </w:r>
            <w:r w:rsidR="00DF4C37" w:rsidRPr="00FE6D80">
              <w:rPr>
                <w:rFonts w:ascii="Times New Roman" w:hAnsi="Times New Roman" w:cs="Times New Roman"/>
                <w:sz w:val="16"/>
                <w:szCs w:val="16"/>
              </w:rPr>
              <w:t xml:space="preserve"> Poniżej przedstawi</w:t>
            </w:r>
            <w:r w:rsidR="00AA69F8" w:rsidRPr="00FE6D80">
              <w:rPr>
                <w:rFonts w:ascii="Times New Roman" w:hAnsi="Times New Roman" w:cs="Times New Roman"/>
                <w:sz w:val="16"/>
                <w:szCs w:val="16"/>
              </w:rPr>
              <w:t>ono</w:t>
            </w:r>
            <w:r w:rsidR="00DF4C37" w:rsidRPr="00FE6D80">
              <w:rPr>
                <w:rFonts w:ascii="Times New Roman" w:hAnsi="Times New Roman" w:cs="Times New Roman"/>
                <w:sz w:val="16"/>
                <w:szCs w:val="16"/>
              </w:rPr>
              <w:t xml:space="preserve"> </w:t>
            </w:r>
            <w:r w:rsidR="00AA69F8" w:rsidRPr="00FE6D80">
              <w:rPr>
                <w:rFonts w:ascii="Times New Roman" w:hAnsi="Times New Roman" w:cs="Times New Roman"/>
                <w:sz w:val="16"/>
                <w:szCs w:val="16"/>
              </w:rPr>
              <w:t xml:space="preserve">szacowany </w:t>
            </w:r>
            <w:r w:rsidR="00DF4C37" w:rsidRPr="00FE6D80">
              <w:rPr>
                <w:rFonts w:ascii="Times New Roman" w:hAnsi="Times New Roman" w:cs="Times New Roman"/>
                <w:sz w:val="16"/>
                <w:szCs w:val="16"/>
              </w:rPr>
              <w:t>podział</w:t>
            </w:r>
            <w:r w:rsidR="00AA69F8" w:rsidRPr="00FE6D80">
              <w:rPr>
                <w:rFonts w:ascii="Times New Roman" w:hAnsi="Times New Roman" w:cs="Times New Roman"/>
                <w:sz w:val="16"/>
                <w:szCs w:val="16"/>
              </w:rPr>
              <w:t xml:space="preserve"> kosztów</w:t>
            </w:r>
            <w:r w:rsidR="00DF4C37" w:rsidRPr="00FE6D80">
              <w:rPr>
                <w:rFonts w:ascii="Times New Roman" w:hAnsi="Times New Roman" w:cs="Times New Roman"/>
                <w:sz w:val="16"/>
                <w:szCs w:val="16"/>
              </w:rPr>
              <w:t xml:space="preserve"> planowan</w:t>
            </w:r>
            <w:r w:rsidR="00AA69F8" w:rsidRPr="00FE6D80">
              <w:rPr>
                <w:rFonts w:ascii="Times New Roman" w:hAnsi="Times New Roman" w:cs="Times New Roman"/>
                <w:sz w:val="16"/>
                <w:szCs w:val="16"/>
              </w:rPr>
              <w:t>ego</w:t>
            </w:r>
            <w:r w:rsidR="00DF4C37" w:rsidRPr="00FE6D80">
              <w:rPr>
                <w:rFonts w:ascii="Times New Roman" w:hAnsi="Times New Roman" w:cs="Times New Roman"/>
                <w:sz w:val="16"/>
                <w:szCs w:val="16"/>
              </w:rPr>
              <w:t xml:space="preserve"> do nabycia </w:t>
            </w:r>
            <w:r w:rsidR="009D132F" w:rsidRPr="00FE6D80">
              <w:rPr>
                <w:rFonts w:ascii="Times New Roman" w:hAnsi="Times New Roman" w:cs="Times New Roman"/>
                <w:sz w:val="16"/>
                <w:szCs w:val="16"/>
              </w:rPr>
              <w:t>oprogramowania</w:t>
            </w:r>
            <w:r w:rsidR="00DF4C37" w:rsidRPr="00FE6D80">
              <w:rPr>
                <w:rFonts w:ascii="Times New Roman" w:hAnsi="Times New Roman" w:cs="Times New Roman"/>
                <w:sz w:val="16"/>
                <w:szCs w:val="16"/>
              </w:rPr>
              <w:t xml:space="preserve"> w </w:t>
            </w:r>
            <w:r w:rsidR="00AA69F8" w:rsidRPr="00FE6D80">
              <w:rPr>
                <w:rFonts w:ascii="Times New Roman" w:hAnsi="Times New Roman" w:cs="Times New Roman"/>
                <w:sz w:val="16"/>
                <w:szCs w:val="16"/>
              </w:rPr>
              <w:t>rozbiciu</w:t>
            </w:r>
            <w:r w:rsidR="004557F1">
              <w:rPr>
                <w:rFonts w:ascii="Times New Roman" w:hAnsi="Times New Roman" w:cs="Times New Roman"/>
                <w:sz w:val="16"/>
                <w:szCs w:val="16"/>
              </w:rPr>
              <w:t xml:space="preserve"> na typy.</w:t>
            </w:r>
          </w:p>
          <w:tbl>
            <w:tblPr>
              <w:tblStyle w:val="Tabela-Siatka"/>
              <w:tblW w:w="7539" w:type="dxa"/>
              <w:tblLayout w:type="fixed"/>
              <w:tblLook w:val="04A0" w:firstRow="1" w:lastRow="0" w:firstColumn="1" w:lastColumn="0" w:noHBand="0" w:noVBand="1"/>
            </w:tblPr>
            <w:tblGrid>
              <w:gridCol w:w="310"/>
              <w:gridCol w:w="992"/>
              <w:gridCol w:w="1276"/>
              <w:gridCol w:w="1276"/>
              <w:gridCol w:w="1276"/>
              <w:gridCol w:w="1275"/>
              <w:gridCol w:w="1134"/>
            </w:tblGrid>
            <w:tr w:rsidR="00B3339E" w:rsidRPr="00FE6D80" w14:paraId="6E84B043" w14:textId="77777777" w:rsidTr="00B3339E">
              <w:tc>
                <w:tcPr>
                  <w:tcW w:w="310" w:type="dxa"/>
                  <w:shd w:val="clear" w:color="auto" w:fill="DBDBDB" w:themeFill="accent3" w:themeFillTint="66"/>
                </w:tcPr>
                <w:p w14:paraId="3E2DE0B6" w14:textId="77777777" w:rsidR="00B3339E" w:rsidRPr="00FE6D80" w:rsidRDefault="00B3339E" w:rsidP="00B742A3">
                  <w:pPr>
                    <w:jc w:val="center"/>
                    <w:rPr>
                      <w:rFonts w:ascii="Times New Roman" w:hAnsi="Times New Roman" w:cs="Times New Roman"/>
                      <w:b/>
                      <w:bCs/>
                      <w:sz w:val="16"/>
                      <w:szCs w:val="16"/>
                    </w:rPr>
                  </w:pPr>
                </w:p>
              </w:tc>
              <w:tc>
                <w:tcPr>
                  <w:tcW w:w="992" w:type="dxa"/>
                  <w:shd w:val="clear" w:color="auto" w:fill="DBDBDB" w:themeFill="accent3" w:themeFillTint="66"/>
                  <w:vAlign w:val="center"/>
                </w:tcPr>
                <w:p w14:paraId="4E88805A" w14:textId="6C1008C8" w:rsidR="00B3339E" w:rsidRPr="00FE6D80" w:rsidRDefault="00B3339E" w:rsidP="00B742A3">
                  <w:pPr>
                    <w:jc w:val="center"/>
                    <w:rPr>
                      <w:rFonts w:ascii="Times New Roman" w:hAnsi="Times New Roman" w:cs="Times New Roman"/>
                      <w:b/>
                      <w:bCs/>
                      <w:sz w:val="16"/>
                      <w:szCs w:val="16"/>
                    </w:rPr>
                  </w:pPr>
                  <w:r w:rsidRPr="00FE6D80">
                    <w:rPr>
                      <w:rFonts w:ascii="Times New Roman" w:hAnsi="Times New Roman" w:cs="Times New Roman"/>
                      <w:b/>
                      <w:bCs/>
                      <w:sz w:val="16"/>
                      <w:szCs w:val="16"/>
                    </w:rPr>
                    <w:t>2024 r.</w:t>
                  </w:r>
                </w:p>
              </w:tc>
              <w:tc>
                <w:tcPr>
                  <w:tcW w:w="1276" w:type="dxa"/>
                  <w:shd w:val="clear" w:color="auto" w:fill="DBDBDB" w:themeFill="accent3" w:themeFillTint="66"/>
                  <w:vAlign w:val="center"/>
                </w:tcPr>
                <w:p w14:paraId="3FC8DCEF" w14:textId="264F62A8" w:rsidR="00B3339E" w:rsidRPr="00FE6D80" w:rsidRDefault="00B3339E" w:rsidP="00B742A3">
                  <w:pPr>
                    <w:jc w:val="center"/>
                    <w:rPr>
                      <w:rFonts w:ascii="Times New Roman" w:hAnsi="Times New Roman" w:cs="Times New Roman"/>
                      <w:sz w:val="16"/>
                      <w:szCs w:val="16"/>
                    </w:rPr>
                  </w:pPr>
                  <w:r w:rsidRPr="00FE6D80">
                    <w:rPr>
                      <w:rFonts w:ascii="Times New Roman" w:hAnsi="Times New Roman" w:cs="Times New Roman"/>
                      <w:b/>
                      <w:bCs/>
                      <w:sz w:val="16"/>
                      <w:szCs w:val="16"/>
                    </w:rPr>
                    <w:t>2025 r.</w:t>
                  </w:r>
                </w:p>
              </w:tc>
              <w:tc>
                <w:tcPr>
                  <w:tcW w:w="1276" w:type="dxa"/>
                  <w:shd w:val="clear" w:color="auto" w:fill="DBDBDB" w:themeFill="accent3" w:themeFillTint="66"/>
                  <w:vAlign w:val="center"/>
                </w:tcPr>
                <w:p w14:paraId="17D0807D" w14:textId="49E716F5" w:rsidR="00B3339E" w:rsidRPr="00FE6D80" w:rsidRDefault="00B3339E" w:rsidP="00B742A3">
                  <w:pPr>
                    <w:jc w:val="center"/>
                    <w:rPr>
                      <w:rFonts w:ascii="Times New Roman" w:hAnsi="Times New Roman" w:cs="Times New Roman"/>
                      <w:sz w:val="16"/>
                      <w:szCs w:val="16"/>
                    </w:rPr>
                  </w:pPr>
                  <w:r w:rsidRPr="00FE6D80">
                    <w:rPr>
                      <w:rFonts w:ascii="Times New Roman" w:hAnsi="Times New Roman" w:cs="Times New Roman"/>
                      <w:b/>
                      <w:bCs/>
                      <w:sz w:val="16"/>
                      <w:szCs w:val="16"/>
                    </w:rPr>
                    <w:t>2026 r.</w:t>
                  </w:r>
                </w:p>
              </w:tc>
              <w:tc>
                <w:tcPr>
                  <w:tcW w:w="1276" w:type="dxa"/>
                  <w:shd w:val="clear" w:color="auto" w:fill="DBDBDB" w:themeFill="accent3" w:themeFillTint="66"/>
                  <w:vAlign w:val="center"/>
                </w:tcPr>
                <w:p w14:paraId="34DDEFB6" w14:textId="41688FF8" w:rsidR="00B3339E" w:rsidRPr="00FE6D80" w:rsidRDefault="00B3339E" w:rsidP="00B742A3">
                  <w:pPr>
                    <w:jc w:val="center"/>
                    <w:rPr>
                      <w:rFonts w:ascii="Times New Roman" w:hAnsi="Times New Roman" w:cs="Times New Roman"/>
                      <w:sz w:val="16"/>
                      <w:szCs w:val="16"/>
                    </w:rPr>
                  </w:pPr>
                  <w:r w:rsidRPr="00FE6D80">
                    <w:rPr>
                      <w:rFonts w:ascii="Times New Roman" w:hAnsi="Times New Roman" w:cs="Times New Roman"/>
                      <w:b/>
                      <w:bCs/>
                      <w:sz w:val="16"/>
                      <w:szCs w:val="16"/>
                    </w:rPr>
                    <w:t>2027 r.</w:t>
                  </w:r>
                </w:p>
              </w:tc>
              <w:tc>
                <w:tcPr>
                  <w:tcW w:w="1275" w:type="dxa"/>
                  <w:shd w:val="clear" w:color="auto" w:fill="DBDBDB" w:themeFill="accent3" w:themeFillTint="66"/>
                  <w:vAlign w:val="center"/>
                </w:tcPr>
                <w:p w14:paraId="4141EAB7" w14:textId="6367E433" w:rsidR="00B3339E" w:rsidRPr="00FE6D80" w:rsidRDefault="00B3339E" w:rsidP="00B742A3">
                  <w:pPr>
                    <w:jc w:val="center"/>
                    <w:rPr>
                      <w:rFonts w:ascii="Times New Roman" w:hAnsi="Times New Roman" w:cs="Times New Roman"/>
                      <w:sz w:val="16"/>
                      <w:szCs w:val="16"/>
                    </w:rPr>
                  </w:pPr>
                  <w:r w:rsidRPr="00FE6D80">
                    <w:rPr>
                      <w:rFonts w:ascii="Times New Roman" w:hAnsi="Times New Roman" w:cs="Times New Roman"/>
                      <w:b/>
                      <w:bCs/>
                      <w:sz w:val="16"/>
                      <w:szCs w:val="16"/>
                    </w:rPr>
                    <w:t>2028 r.</w:t>
                  </w:r>
                </w:p>
              </w:tc>
              <w:tc>
                <w:tcPr>
                  <w:tcW w:w="1134" w:type="dxa"/>
                  <w:shd w:val="clear" w:color="auto" w:fill="A6A6A6" w:themeFill="background1" w:themeFillShade="A6"/>
                  <w:vAlign w:val="center"/>
                </w:tcPr>
                <w:p w14:paraId="18D640E8" w14:textId="23AA60D4" w:rsidR="00B3339E" w:rsidRPr="00FE6D80" w:rsidRDefault="00B3339E" w:rsidP="00B742A3">
                  <w:pPr>
                    <w:jc w:val="center"/>
                    <w:rPr>
                      <w:rFonts w:ascii="Times New Roman" w:hAnsi="Times New Roman" w:cs="Times New Roman"/>
                      <w:sz w:val="16"/>
                      <w:szCs w:val="16"/>
                    </w:rPr>
                  </w:pPr>
                  <w:r w:rsidRPr="00FE6D80">
                    <w:rPr>
                      <w:rFonts w:ascii="Times New Roman" w:hAnsi="Times New Roman" w:cs="Times New Roman"/>
                      <w:b/>
                      <w:bCs/>
                      <w:sz w:val="16"/>
                      <w:szCs w:val="16"/>
                    </w:rPr>
                    <w:t>2024-2028</w:t>
                  </w:r>
                </w:p>
              </w:tc>
            </w:tr>
            <w:tr w:rsidR="00A359E0" w:rsidRPr="00FE6D80" w14:paraId="7462C31F" w14:textId="77777777" w:rsidTr="00E94A0D">
              <w:tc>
                <w:tcPr>
                  <w:tcW w:w="310" w:type="dxa"/>
                </w:tcPr>
                <w:p w14:paraId="78CC133C" w14:textId="77777777" w:rsidR="00B3339E" w:rsidRPr="00FE6D80" w:rsidRDefault="00B3339E" w:rsidP="00B742A3">
                  <w:pPr>
                    <w:jc w:val="center"/>
                    <w:rPr>
                      <w:rFonts w:ascii="Times New Roman" w:hAnsi="Times New Roman" w:cs="Times New Roman"/>
                      <w:b/>
                      <w:sz w:val="16"/>
                      <w:szCs w:val="16"/>
                    </w:rPr>
                  </w:pPr>
                </w:p>
              </w:tc>
              <w:tc>
                <w:tcPr>
                  <w:tcW w:w="992" w:type="dxa"/>
                  <w:shd w:val="clear" w:color="auto" w:fill="auto"/>
                  <w:vAlign w:val="center"/>
                </w:tcPr>
                <w:p w14:paraId="4BE0FA6A" w14:textId="47A5405D" w:rsidR="00B3339E" w:rsidRPr="00FE6D80" w:rsidRDefault="006B33AC" w:rsidP="00B742A3">
                  <w:pPr>
                    <w:jc w:val="center"/>
                    <w:rPr>
                      <w:rFonts w:ascii="Times New Roman" w:hAnsi="Times New Roman" w:cs="Times New Roman"/>
                      <w:b/>
                      <w:sz w:val="16"/>
                      <w:szCs w:val="16"/>
                    </w:rPr>
                  </w:pPr>
                  <w:r w:rsidRPr="00FE6D80">
                    <w:rPr>
                      <w:rFonts w:ascii="Times New Roman" w:hAnsi="Times New Roman" w:cs="Times New Roman"/>
                      <w:b/>
                      <w:sz w:val="16"/>
                      <w:szCs w:val="16"/>
                    </w:rPr>
                    <w:t>105</w:t>
                  </w:r>
                  <w:r w:rsidR="00DE7277" w:rsidRPr="00FE6D80">
                    <w:rPr>
                      <w:rFonts w:ascii="Times New Roman" w:hAnsi="Times New Roman" w:cs="Times New Roman"/>
                      <w:b/>
                      <w:sz w:val="16"/>
                      <w:szCs w:val="16"/>
                    </w:rPr>
                    <w:t>.</w:t>
                  </w:r>
                  <w:r w:rsidR="00B3339E" w:rsidRPr="00FE6D80">
                    <w:rPr>
                      <w:rFonts w:ascii="Times New Roman" w:hAnsi="Times New Roman" w:cs="Times New Roman"/>
                      <w:b/>
                      <w:sz w:val="16"/>
                      <w:szCs w:val="16"/>
                    </w:rPr>
                    <w:t>000,00</w:t>
                  </w:r>
                </w:p>
              </w:tc>
              <w:tc>
                <w:tcPr>
                  <w:tcW w:w="1276" w:type="dxa"/>
                  <w:shd w:val="clear" w:color="auto" w:fill="auto"/>
                  <w:vAlign w:val="center"/>
                </w:tcPr>
                <w:p w14:paraId="67EFB147" w14:textId="6D4DC0F6" w:rsidR="00B3339E" w:rsidRPr="00FE6D80" w:rsidRDefault="009C085E" w:rsidP="00B742A3">
                  <w:pPr>
                    <w:jc w:val="center"/>
                    <w:rPr>
                      <w:rFonts w:ascii="Times New Roman" w:hAnsi="Times New Roman" w:cs="Times New Roman"/>
                      <w:b/>
                      <w:sz w:val="16"/>
                      <w:szCs w:val="16"/>
                    </w:rPr>
                  </w:pPr>
                  <w:r w:rsidRPr="00FE6D80">
                    <w:rPr>
                      <w:rFonts w:ascii="Times New Roman" w:hAnsi="Times New Roman" w:cs="Times New Roman"/>
                      <w:b/>
                      <w:sz w:val="16"/>
                      <w:szCs w:val="16"/>
                    </w:rPr>
                    <w:t>105</w:t>
                  </w:r>
                  <w:r w:rsidR="00DE7277" w:rsidRPr="00FE6D80">
                    <w:rPr>
                      <w:rFonts w:ascii="Times New Roman" w:hAnsi="Times New Roman" w:cs="Times New Roman"/>
                      <w:b/>
                      <w:sz w:val="16"/>
                      <w:szCs w:val="16"/>
                    </w:rPr>
                    <w:t>.</w:t>
                  </w:r>
                  <w:r w:rsidR="00B3339E" w:rsidRPr="00FE6D80">
                    <w:rPr>
                      <w:rFonts w:ascii="Times New Roman" w:hAnsi="Times New Roman" w:cs="Times New Roman"/>
                      <w:b/>
                      <w:sz w:val="16"/>
                      <w:szCs w:val="16"/>
                    </w:rPr>
                    <w:t>000,00</w:t>
                  </w:r>
                </w:p>
              </w:tc>
              <w:tc>
                <w:tcPr>
                  <w:tcW w:w="1276" w:type="dxa"/>
                  <w:shd w:val="clear" w:color="auto" w:fill="auto"/>
                  <w:vAlign w:val="center"/>
                </w:tcPr>
                <w:p w14:paraId="7170CDED" w14:textId="587E4261" w:rsidR="00B3339E" w:rsidRPr="00FE6D80" w:rsidRDefault="009C085E" w:rsidP="00B742A3">
                  <w:pPr>
                    <w:jc w:val="center"/>
                    <w:rPr>
                      <w:rFonts w:ascii="Times New Roman" w:hAnsi="Times New Roman" w:cs="Times New Roman"/>
                      <w:b/>
                      <w:sz w:val="16"/>
                      <w:szCs w:val="16"/>
                    </w:rPr>
                  </w:pPr>
                  <w:r w:rsidRPr="00FE6D80">
                    <w:rPr>
                      <w:rFonts w:ascii="Times New Roman" w:hAnsi="Times New Roman" w:cs="Times New Roman"/>
                      <w:b/>
                      <w:sz w:val="16"/>
                      <w:szCs w:val="16"/>
                    </w:rPr>
                    <w:t>107</w:t>
                  </w:r>
                  <w:r w:rsidR="00DE7277" w:rsidRPr="00FE6D80">
                    <w:rPr>
                      <w:rFonts w:ascii="Times New Roman" w:hAnsi="Times New Roman" w:cs="Times New Roman"/>
                      <w:b/>
                      <w:sz w:val="16"/>
                      <w:szCs w:val="16"/>
                    </w:rPr>
                    <w:t>.</w:t>
                  </w:r>
                  <w:r w:rsidRPr="00FE6D80">
                    <w:rPr>
                      <w:rFonts w:ascii="Times New Roman" w:hAnsi="Times New Roman" w:cs="Times New Roman"/>
                      <w:b/>
                      <w:sz w:val="16"/>
                      <w:szCs w:val="16"/>
                    </w:rPr>
                    <w:t>5</w:t>
                  </w:r>
                  <w:r w:rsidR="00B3339E" w:rsidRPr="00FE6D80">
                    <w:rPr>
                      <w:rFonts w:ascii="Times New Roman" w:hAnsi="Times New Roman" w:cs="Times New Roman"/>
                      <w:b/>
                      <w:sz w:val="16"/>
                      <w:szCs w:val="16"/>
                    </w:rPr>
                    <w:t>00,00</w:t>
                  </w:r>
                </w:p>
              </w:tc>
              <w:tc>
                <w:tcPr>
                  <w:tcW w:w="1276" w:type="dxa"/>
                  <w:shd w:val="clear" w:color="auto" w:fill="auto"/>
                  <w:vAlign w:val="center"/>
                </w:tcPr>
                <w:p w14:paraId="0F98F4D6" w14:textId="752EB2D2" w:rsidR="00B3339E" w:rsidRPr="00FE6D80" w:rsidRDefault="009C085E" w:rsidP="00B742A3">
                  <w:pPr>
                    <w:jc w:val="center"/>
                    <w:rPr>
                      <w:rFonts w:ascii="Times New Roman" w:hAnsi="Times New Roman" w:cs="Times New Roman"/>
                      <w:b/>
                      <w:sz w:val="16"/>
                      <w:szCs w:val="16"/>
                    </w:rPr>
                  </w:pPr>
                  <w:r w:rsidRPr="00FE6D80">
                    <w:rPr>
                      <w:rFonts w:ascii="Times New Roman" w:hAnsi="Times New Roman" w:cs="Times New Roman"/>
                      <w:b/>
                      <w:sz w:val="16"/>
                      <w:szCs w:val="16"/>
                    </w:rPr>
                    <w:t>112</w:t>
                  </w:r>
                  <w:r w:rsidR="00DE7277" w:rsidRPr="00FE6D80">
                    <w:rPr>
                      <w:rFonts w:ascii="Times New Roman" w:hAnsi="Times New Roman" w:cs="Times New Roman"/>
                      <w:b/>
                      <w:sz w:val="16"/>
                      <w:szCs w:val="16"/>
                    </w:rPr>
                    <w:t>.</w:t>
                  </w:r>
                  <w:r w:rsidRPr="00FE6D80">
                    <w:rPr>
                      <w:rFonts w:ascii="Times New Roman" w:hAnsi="Times New Roman" w:cs="Times New Roman"/>
                      <w:b/>
                      <w:sz w:val="16"/>
                      <w:szCs w:val="16"/>
                    </w:rPr>
                    <w:t>5</w:t>
                  </w:r>
                  <w:r w:rsidR="00B3339E" w:rsidRPr="00FE6D80">
                    <w:rPr>
                      <w:rFonts w:ascii="Times New Roman" w:hAnsi="Times New Roman" w:cs="Times New Roman"/>
                      <w:b/>
                      <w:sz w:val="16"/>
                      <w:szCs w:val="16"/>
                    </w:rPr>
                    <w:t>00,00</w:t>
                  </w:r>
                </w:p>
              </w:tc>
              <w:tc>
                <w:tcPr>
                  <w:tcW w:w="1275" w:type="dxa"/>
                  <w:shd w:val="clear" w:color="auto" w:fill="auto"/>
                  <w:vAlign w:val="center"/>
                </w:tcPr>
                <w:p w14:paraId="79F57368" w14:textId="5DA3C816" w:rsidR="00B3339E" w:rsidRPr="00FE6D80" w:rsidRDefault="009C085E" w:rsidP="00B742A3">
                  <w:pPr>
                    <w:jc w:val="center"/>
                    <w:rPr>
                      <w:rFonts w:ascii="Times New Roman" w:hAnsi="Times New Roman" w:cs="Times New Roman"/>
                      <w:b/>
                      <w:sz w:val="16"/>
                      <w:szCs w:val="16"/>
                    </w:rPr>
                  </w:pPr>
                  <w:r w:rsidRPr="00FE6D80">
                    <w:rPr>
                      <w:rFonts w:ascii="Times New Roman" w:hAnsi="Times New Roman" w:cs="Times New Roman"/>
                      <w:b/>
                      <w:sz w:val="16"/>
                      <w:szCs w:val="16"/>
                    </w:rPr>
                    <w:t>120</w:t>
                  </w:r>
                  <w:r w:rsidR="00DE7277" w:rsidRPr="00FE6D80">
                    <w:rPr>
                      <w:rFonts w:ascii="Times New Roman" w:hAnsi="Times New Roman" w:cs="Times New Roman"/>
                      <w:b/>
                      <w:sz w:val="16"/>
                      <w:szCs w:val="16"/>
                    </w:rPr>
                    <w:t>.</w:t>
                  </w:r>
                  <w:r w:rsidR="00B3339E" w:rsidRPr="00FE6D80">
                    <w:rPr>
                      <w:rFonts w:ascii="Times New Roman" w:hAnsi="Times New Roman" w:cs="Times New Roman"/>
                      <w:b/>
                      <w:sz w:val="16"/>
                      <w:szCs w:val="16"/>
                    </w:rPr>
                    <w:t>000,00</w:t>
                  </w:r>
                </w:p>
              </w:tc>
              <w:tc>
                <w:tcPr>
                  <w:tcW w:w="1134" w:type="dxa"/>
                  <w:shd w:val="clear" w:color="auto" w:fill="BFBFBF" w:themeFill="background1" w:themeFillShade="BF"/>
                  <w:vAlign w:val="center"/>
                </w:tcPr>
                <w:p w14:paraId="5859496D" w14:textId="0190EA79" w:rsidR="00B3339E" w:rsidRPr="00FE6D80" w:rsidRDefault="002A310E" w:rsidP="00B742A3">
                  <w:pPr>
                    <w:jc w:val="center"/>
                    <w:rPr>
                      <w:rFonts w:ascii="Times New Roman" w:hAnsi="Times New Roman" w:cs="Times New Roman"/>
                      <w:b/>
                      <w:bCs/>
                      <w:sz w:val="16"/>
                      <w:szCs w:val="16"/>
                    </w:rPr>
                  </w:pPr>
                  <w:r w:rsidRPr="00FE6D80">
                    <w:rPr>
                      <w:rFonts w:ascii="Times New Roman" w:hAnsi="Times New Roman" w:cs="Times New Roman"/>
                      <w:b/>
                      <w:bCs/>
                      <w:sz w:val="16"/>
                      <w:szCs w:val="16"/>
                    </w:rPr>
                    <w:t>975</w:t>
                  </w:r>
                  <w:r w:rsidR="00DE7277" w:rsidRPr="00FE6D80">
                    <w:rPr>
                      <w:rFonts w:ascii="Times New Roman" w:hAnsi="Times New Roman" w:cs="Times New Roman"/>
                      <w:b/>
                      <w:bCs/>
                      <w:sz w:val="16"/>
                      <w:szCs w:val="16"/>
                    </w:rPr>
                    <w:t>.</w:t>
                  </w:r>
                  <w:r w:rsidR="00B3339E" w:rsidRPr="00FE6D80">
                    <w:rPr>
                      <w:rFonts w:ascii="Times New Roman" w:hAnsi="Times New Roman" w:cs="Times New Roman"/>
                      <w:b/>
                      <w:bCs/>
                      <w:sz w:val="16"/>
                      <w:szCs w:val="16"/>
                    </w:rPr>
                    <w:t>000,00</w:t>
                  </w:r>
                </w:p>
              </w:tc>
            </w:tr>
            <w:tr w:rsidR="00A359E0" w:rsidRPr="00FE6D80" w14:paraId="0C847557" w14:textId="77777777" w:rsidTr="00E94A0D">
              <w:tc>
                <w:tcPr>
                  <w:tcW w:w="310" w:type="dxa"/>
                </w:tcPr>
                <w:p w14:paraId="112421AA" w14:textId="2187068E" w:rsidR="00B3339E" w:rsidRPr="00FE6D80" w:rsidRDefault="00B3339E" w:rsidP="00057F28">
                  <w:pPr>
                    <w:jc w:val="center"/>
                    <w:rPr>
                      <w:rFonts w:ascii="Times New Roman" w:hAnsi="Times New Roman" w:cs="Times New Roman"/>
                      <w:sz w:val="16"/>
                      <w:szCs w:val="16"/>
                    </w:rPr>
                  </w:pPr>
                  <w:r w:rsidRPr="00FE6D80">
                    <w:rPr>
                      <w:rFonts w:ascii="Times New Roman" w:hAnsi="Times New Roman" w:cs="Times New Roman"/>
                      <w:sz w:val="16"/>
                      <w:szCs w:val="16"/>
                    </w:rPr>
                    <w:t>1</w:t>
                  </w:r>
                </w:p>
              </w:tc>
              <w:tc>
                <w:tcPr>
                  <w:tcW w:w="992" w:type="dxa"/>
                  <w:shd w:val="clear" w:color="auto" w:fill="auto"/>
                </w:tcPr>
                <w:p w14:paraId="6D4C3F9C" w14:textId="761BF531" w:rsidR="00B3339E" w:rsidRPr="00FE6D80" w:rsidRDefault="002A310E" w:rsidP="00057F28">
                  <w:pPr>
                    <w:jc w:val="center"/>
                    <w:rPr>
                      <w:rFonts w:ascii="Times New Roman" w:hAnsi="Times New Roman" w:cs="Times New Roman"/>
                      <w:sz w:val="16"/>
                      <w:szCs w:val="16"/>
                    </w:rPr>
                  </w:pPr>
                  <w:r w:rsidRPr="00FE6D80">
                    <w:rPr>
                      <w:rFonts w:ascii="Times New Roman" w:hAnsi="Times New Roman" w:cs="Times New Roman"/>
                      <w:sz w:val="16"/>
                      <w:szCs w:val="16"/>
                    </w:rPr>
                    <w:t>5</w:t>
                  </w:r>
                  <w:r w:rsidR="00B3339E" w:rsidRPr="00FE6D80">
                    <w:rPr>
                      <w:rFonts w:ascii="Times New Roman" w:hAnsi="Times New Roman" w:cs="Times New Roman"/>
                      <w:sz w:val="16"/>
                      <w:szCs w:val="16"/>
                    </w:rPr>
                    <w:t>0.000,00</w:t>
                  </w:r>
                </w:p>
              </w:tc>
              <w:tc>
                <w:tcPr>
                  <w:tcW w:w="1276" w:type="dxa"/>
                  <w:shd w:val="clear" w:color="auto" w:fill="auto"/>
                </w:tcPr>
                <w:p w14:paraId="5403FB88" w14:textId="299A5170" w:rsidR="00B3339E" w:rsidRPr="00FE6D80" w:rsidRDefault="002A310E" w:rsidP="00057F28">
                  <w:pPr>
                    <w:jc w:val="center"/>
                    <w:rPr>
                      <w:rFonts w:ascii="Times New Roman" w:hAnsi="Times New Roman" w:cs="Times New Roman"/>
                      <w:sz w:val="16"/>
                      <w:szCs w:val="16"/>
                    </w:rPr>
                  </w:pPr>
                  <w:r w:rsidRPr="00FE6D80">
                    <w:rPr>
                      <w:rFonts w:ascii="Times New Roman" w:hAnsi="Times New Roman" w:cs="Times New Roman"/>
                      <w:sz w:val="16"/>
                      <w:szCs w:val="16"/>
                    </w:rPr>
                    <w:t>5</w:t>
                  </w:r>
                  <w:r w:rsidR="00B3339E" w:rsidRPr="00FE6D80">
                    <w:rPr>
                      <w:rFonts w:ascii="Times New Roman" w:hAnsi="Times New Roman" w:cs="Times New Roman"/>
                      <w:sz w:val="16"/>
                      <w:szCs w:val="16"/>
                    </w:rPr>
                    <w:t>0.000,00</w:t>
                  </w:r>
                </w:p>
              </w:tc>
              <w:tc>
                <w:tcPr>
                  <w:tcW w:w="1276" w:type="dxa"/>
                  <w:shd w:val="clear" w:color="auto" w:fill="auto"/>
                </w:tcPr>
                <w:p w14:paraId="37D56946" w14:textId="1D93D2A1" w:rsidR="00B3339E" w:rsidRPr="00FE6D80" w:rsidRDefault="0089474F" w:rsidP="00057F28">
                  <w:pPr>
                    <w:jc w:val="center"/>
                    <w:rPr>
                      <w:rFonts w:ascii="Times New Roman" w:hAnsi="Times New Roman" w:cs="Times New Roman"/>
                      <w:sz w:val="16"/>
                      <w:szCs w:val="16"/>
                    </w:rPr>
                  </w:pPr>
                  <w:r w:rsidRPr="00FE6D80">
                    <w:rPr>
                      <w:rFonts w:ascii="Times New Roman" w:hAnsi="Times New Roman" w:cs="Times New Roman"/>
                      <w:sz w:val="16"/>
                      <w:szCs w:val="16"/>
                    </w:rPr>
                    <w:t>5</w:t>
                  </w:r>
                  <w:r w:rsidR="00B3339E" w:rsidRPr="00FE6D80">
                    <w:rPr>
                      <w:rFonts w:ascii="Times New Roman" w:hAnsi="Times New Roman" w:cs="Times New Roman"/>
                      <w:sz w:val="16"/>
                      <w:szCs w:val="16"/>
                    </w:rPr>
                    <w:t>0.000,00</w:t>
                  </w:r>
                </w:p>
              </w:tc>
              <w:tc>
                <w:tcPr>
                  <w:tcW w:w="1276" w:type="dxa"/>
                  <w:shd w:val="clear" w:color="auto" w:fill="auto"/>
                </w:tcPr>
                <w:p w14:paraId="1134663E" w14:textId="3EBF1AAE" w:rsidR="00B3339E" w:rsidRPr="00FE6D80" w:rsidRDefault="00B3339E" w:rsidP="00057F28">
                  <w:pPr>
                    <w:jc w:val="center"/>
                    <w:rPr>
                      <w:rFonts w:ascii="Times New Roman" w:hAnsi="Times New Roman" w:cs="Times New Roman"/>
                      <w:sz w:val="16"/>
                      <w:szCs w:val="16"/>
                    </w:rPr>
                  </w:pPr>
                  <w:r w:rsidRPr="00FE6D80">
                    <w:rPr>
                      <w:rFonts w:ascii="Times New Roman" w:hAnsi="Times New Roman" w:cs="Times New Roman"/>
                      <w:sz w:val="16"/>
                      <w:szCs w:val="16"/>
                    </w:rPr>
                    <w:t>50.000,00</w:t>
                  </w:r>
                </w:p>
              </w:tc>
              <w:tc>
                <w:tcPr>
                  <w:tcW w:w="1275" w:type="dxa"/>
                  <w:shd w:val="clear" w:color="auto" w:fill="auto"/>
                </w:tcPr>
                <w:p w14:paraId="22431AC3" w14:textId="2032FA40" w:rsidR="00B3339E" w:rsidRPr="00FE6D80" w:rsidRDefault="002A310E" w:rsidP="00057F28">
                  <w:pPr>
                    <w:jc w:val="center"/>
                    <w:rPr>
                      <w:rFonts w:ascii="Times New Roman" w:hAnsi="Times New Roman" w:cs="Times New Roman"/>
                      <w:sz w:val="16"/>
                      <w:szCs w:val="16"/>
                    </w:rPr>
                  </w:pPr>
                  <w:r w:rsidRPr="00FE6D80">
                    <w:rPr>
                      <w:rFonts w:ascii="Times New Roman" w:hAnsi="Times New Roman" w:cs="Times New Roman"/>
                      <w:sz w:val="16"/>
                      <w:szCs w:val="16"/>
                    </w:rPr>
                    <w:t>5</w:t>
                  </w:r>
                  <w:r w:rsidR="00B3339E" w:rsidRPr="00FE6D80">
                    <w:rPr>
                      <w:rFonts w:ascii="Times New Roman" w:hAnsi="Times New Roman" w:cs="Times New Roman"/>
                      <w:sz w:val="16"/>
                      <w:szCs w:val="16"/>
                    </w:rPr>
                    <w:t>0.000,00</w:t>
                  </w:r>
                </w:p>
              </w:tc>
              <w:tc>
                <w:tcPr>
                  <w:tcW w:w="1134" w:type="dxa"/>
                  <w:shd w:val="clear" w:color="auto" w:fill="auto"/>
                </w:tcPr>
                <w:p w14:paraId="03667433" w14:textId="5EB72471" w:rsidR="00B3339E" w:rsidRPr="00FE6D80" w:rsidRDefault="00B3339E" w:rsidP="00057F28">
                  <w:pPr>
                    <w:jc w:val="center"/>
                    <w:rPr>
                      <w:rFonts w:ascii="Times New Roman" w:hAnsi="Times New Roman" w:cs="Times New Roman"/>
                      <w:b/>
                      <w:bCs/>
                      <w:sz w:val="16"/>
                      <w:szCs w:val="16"/>
                    </w:rPr>
                  </w:pPr>
                  <w:r w:rsidRPr="00FE6D80">
                    <w:rPr>
                      <w:rFonts w:ascii="Times New Roman" w:hAnsi="Times New Roman" w:cs="Times New Roman"/>
                      <w:b/>
                      <w:bCs/>
                      <w:sz w:val="16"/>
                      <w:szCs w:val="16"/>
                    </w:rPr>
                    <w:t>2</w:t>
                  </w:r>
                  <w:r w:rsidR="002A310E" w:rsidRPr="00FE6D80">
                    <w:rPr>
                      <w:rFonts w:ascii="Times New Roman" w:hAnsi="Times New Roman" w:cs="Times New Roman"/>
                      <w:b/>
                      <w:bCs/>
                      <w:sz w:val="16"/>
                      <w:szCs w:val="16"/>
                    </w:rPr>
                    <w:t>5</w:t>
                  </w:r>
                  <w:r w:rsidRPr="00FE6D80">
                    <w:rPr>
                      <w:rFonts w:ascii="Times New Roman" w:hAnsi="Times New Roman" w:cs="Times New Roman"/>
                      <w:b/>
                      <w:bCs/>
                      <w:sz w:val="16"/>
                      <w:szCs w:val="16"/>
                    </w:rPr>
                    <w:t>0.000,00</w:t>
                  </w:r>
                </w:p>
              </w:tc>
            </w:tr>
            <w:tr w:rsidR="00A359E0" w:rsidRPr="00FE6D80" w14:paraId="54226A34" w14:textId="77777777" w:rsidTr="00E94A0D">
              <w:tc>
                <w:tcPr>
                  <w:tcW w:w="310" w:type="dxa"/>
                </w:tcPr>
                <w:p w14:paraId="243611A2" w14:textId="169C9B4B" w:rsidR="0072742B" w:rsidRPr="00FE6D80" w:rsidRDefault="0072742B" w:rsidP="0072742B">
                  <w:pPr>
                    <w:jc w:val="center"/>
                    <w:rPr>
                      <w:rFonts w:ascii="Times New Roman" w:hAnsi="Times New Roman" w:cs="Times New Roman"/>
                      <w:sz w:val="16"/>
                      <w:szCs w:val="16"/>
                    </w:rPr>
                  </w:pPr>
                  <w:r w:rsidRPr="00FE6D80">
                    <w:rPr>
                      <w:rFonts w:ascii="Times New Roman" w:hAnsi="Times New Roman" w:cs="Times New Roman"/>
                      <w:sz w:val="16"/>
                      <w:szCs w:val="16"/>
                    </w:rPr>
                    <w:t>2</w:t>
                  </w:r>
                </w:p>
              </w:tc>
              <w:tc>
                <w:tcPr>
                  <w:tcW w:w="992" w:type="dxa"/>
                  <w:shd w:val="clear" w:color="auto" w:fill="auto"/>
                </w:tcPr>
                <w:p w14:paraId="788D2AFC" w14:textId="32FDEFEC" w:rsidR="0072742B" w:rsidRPr="00FE6D80" w:rsidRDefault="0089474F" w:rsidP="0072742B">
                  <w:pPr>
                    <w:jc w:val="center"/>
                    <w:rPr>
                      <w:rFonts w:ascii="Times New Roman" w:hAnsi="Times New Roman" w:cs="Times New Roman"/>
                      <w:sz w:val="16"/>
                      <w:szCs w:val="16"/>
                    </w:rPr>
                  </w:pPr>
                  <w:r w:rsidRPr="00FE6D80">
                    <w:rPr>
                      <w:rFonts w:ascii="Times New Roman" w:hAnsi="Times New Roman" w:cs="Times New Roman"/>
                      <w:sz w:val="16"/>
                      <w:szCs w:val="16"/>
                    </w:rPr>
                    <w:t>1</w:t>
                  </w:r>
                  <w:r w:rsidR="002A310E" w:rsidRPr="00FE6D80">
                    <w:rPr>
                      <w:rFonts w:ascii="Times New Roman" w:hAnsi="Times New Roman" w:cs="Times New Roman"/>
                      <w:sz w:val="16"/>
                      <w:szCs w:val="16"/>
                    </w:rPr>
                    <w:t>0</w:t>
                  </w:r>
                  <w:r w:rsidR="0072742B" w:rsidRPr="00FE6D80">
                    <w:rPr>
                      <w:rFonts w:ascii="Times New Roman" w:hAnsi="Times New Roman" w:cs="Times New Roman"/>
                      <w:sz w:val="16"/>
                      <w:szCs w:val="16"/>
                    </w:rPr>
                    <w:t>.000,00</w:t>
                  </w:r>
                </w:p>
              </w:tc>
              <w:tc>
                <w:tcPr>
                  <w:tcW w:w="1276" w:type="dxa"/>
                  <w:shd w:val="clear" w:color="auto" w:fill="auto"/>
                </w:tcPr>
                <w:p w14:paraId="2CAAD664" w14:textId="55421CF7" w:rsidR="0072742B" w:rsidRPr="00FE6D80" w:rsidRDefault="000A6BBB" w:rsidP="0072742B">
                  <w:pPr>
                    <w:jc w:val="center"/>
                    <w:rPr>
                      <w:rFonts w:ascii="Times New Roman" w:hAnsi="Times New Roman" w:cs="Times New Roman"/>
                      <w:sz w:val="16"/>
                      <w:szCs w:val="16"/>
                    </w:rPr>
                  </w:pPr>
                  <w:r w:rsidRPr="00FE6D80">
                    <w:rPr>
                      <w:rFonts w:ascii="Times New Roman" w:hAnsi="Times New Roman" w:cs="Times New Roman"/>
                      <w:sz w:val="16"/>
                      <w:szCs w:val="16"/>
                    </w:rPr>
                    <w:t>10</w:t>
                  </w:r>
                  <w:r w:rsidR="00DE7277" w:rsidRPr="00FE6D80">
                    <w:rPr>
                      <w:rFonts w:ascii="Times New Roman" w:hAnsi="Times New Roman" w:cs="Times New Roman"/>
                      <w:sz w:val="16"/>
                      <w:szCs w:val="16"/>
                    </w:rPr>
                    <w:t>.</w:t>
                  </w:r>
                  <w:r w:rsidRPr="00FE6D80">
                    <w:rPr>
                      <w:rFonts w:ascii="Times New Roman" w:hAnsi="Times New Roman" w:cs="Times New Roman"/>
                      <w:sz w:val="16"/>
                      <w:szCs w:val="16"/>
                    </w:rPr>
                    <w:t>0</w:t>
                  </w:r>
                  <w:r w:rsidR="0072742B" w:rsidRPr="00FE6D80">
                    <w:rPr>
                      <w:rFonts w:ascii="Times New Roman" w:hAnsi="Times New Roman" w:cs="Times New Roman"/>
                      <w:sz w:val="16"/>
                      <w:szCs w:val="16"/>
                    </w:rPr>
                    <w:t>00,00</w:t>
                  </w:r>
                </w:p>
              </w:tc>
              <w:tc>
                <w:tcPr>
                  <w:tcW w:w="1276" w:type="dxa"/>
                  <w:shd w:val="clear" w:color="auto" w:fill="auto"/>
                </w:tcPr>
                <w:p w14:paraId="30EF8D93" w14:textId="05FF8F0F" w:rsidR="0072742B" w:rsidRPr="00FE6D80" w:rsidRDefault="000A6BBB" w:rsidP="0072742B">
                  <w:pPr>
                    <w:jc w:val="center"/>
                    <w:rPr>
                      <w:rFonts w:ascii="Times New Roman" w:hAnsi="Times New Roman" w:cs="Times New Roman"/>
                      <w:sz w:val="16"/>
                      <w:szCs w:val="16"/>
                    </w:rPr>
                  </w:pPr>
                  <w:r w:rsidRPr="00FE6D80">
                    <w:rPr>
                      <w:rFonts w:ascii="Times New Roman" w:hAnsi="Times New Roman" w:cs="Times New Roman"/>
                      <w:sz w:val="16"/>
                      <w:szCs w:val="16"/>
                    </w:rPr>
                    <w:t>10</w:t>
                  </w:r>
                  <w:r w:rsidR="00DE7277" w:rsidRPr="00FE6D80">
                    <w:rPr>
                      <w:rFonts w:ascii="Times New Roman" w:hAnsi="Times New Roman" w:cs="Times New Roman"/>
                      <w:sz w:val="16"/>
                      <w:szCs w:val="16"/>
                    </w:rPr>
                    <w:t>.</w:t>
                  </w:r>
                  <w:r w:rsidRPr="00FE6D80">
                    <w:rPr>
                      <w:rFonts w:ascii="Times New Roman" w:hAnsi="Times New Roman" w:cs="Times New Roman"/>
                      <w:sz w:val="16"/>
                      <w:szCs w:val="16"/>
                    </w:rPr>
                    <w:t>0</w:t>
                  </w:r>
                  <w:r w:rsidR="0072742B" w:rsidRPr="00FE6D80">
                    <w:rPr>
                      <w:rFonts w:ascii="Times New Roman" w:hAnsi="Times New Roman" w:cs="Times New Roman"/>
                      <w:sz w:val="16"/>
                      <w:szCs w:val="16"/>
                    </w:rPr>
                    <w:t>00,00</w:t>
                  </w:r>
                </w:p>
              </w:tc>
              <w:tc>
                <w:tcPr>
                  <w:tcW w:w="1276" w:type="dxa"/>
                  <w:shd w:val="clear" w:color="auto" w:fill="auto"/>
                </w:tcPr>
                <w:p w14:paraId="711712AC" w14:textId="2F583F8F" w:rsidR="0072742B" w:rsidRPr="00FE6D80" w:rsidRDefault="000A6BBB" w:rsidP="0072742B">
                  <w:pPr>
                    <w:jc w:val="center"/>
                    <w:rPr>
                      <w:rFonts w:ascii="Times New Roman" w:hAnsi="Times New Roman" w:cs="Times New Roman"/>
                      <w:sz w:val="16"/>
                      <w:szCs w:val="16"/>
                    </w:rPr>
                  </w:pPr>
                  <w:r w:rsidRPr="00FE6D80">
                    <w:rPr>
                      <w:rFonts w:ascii="Times New Roman" w:hAnsi="Times New Roman" w:cs="Times New Roman"/>
                      <w:sz w:val="16"/>
                      <w:szCs w:val="16"/>
                    </w:rPr>
                    <w:t>1</w:t>
                  </w:r>
                  <w:r w:rsidR="0095563E" w:rsidRPr="00FE6D80">
                    <w:rPr>
                      <w:rFonts w:ascii="Times New Roman" w:hAnsi="Times New Roman" w:cs="Times New Roman"/>
                      <w:sz w:val="16"/>
                      <w:szCs w:val="16"/>
                    </w:rPr>
                    <w:t>0</w:t>
                  </w:r>
                  <w:r w:rsidR="0072742B" w:rsidRPr="00FE6D80">
                    <w:rPr>
                      <w:rFonts w:ascii="Times New Roman" w:hAnsi="Times New Roman" w:cs="Times New Roman"/>
                      <w:sz w:val="16"/>
                      <w:szCs w:val="16"/>
                    </w:rPr>
                    <w:t>.000,00</w:t>
                  </w:r>
                </w:p>
              </w:tc>
              <w:tc>
                <w:tcPr>
                  <w:tcW w:w="1275" w:type="dxa"/>
                  <w:shd w:val="clear" w:color="auto" w:fill="auto"/>
                </w:tcPr>
                <w:p w14:paraId="1D343B42" w14:textId="678B10B6" w:rsidR="0072742B" w:rsidRPr="00FE6D80" w:rsidRDefault="000A6BBB" w:rsidP="0072742B">
                  <w:pPr>
                    <w:jc w:val="center"/>
                    <w:rPr>
                      <w:rFonts w:ascii="Times New Roman" w:hAnsi="Times New Roman" w:cs="Times New Roman"/>
                      <w:sz w:val="16"/>
                      <w:szCs w:val="16"/>
                    </w:rPr>
                  </w:pPr>
                  <w:r w:rsidRPr="00FE6D80">
                    <w:rPr>
                      <w:rFonts w:ascii="Times New Roman" w:hAnsi="Times New Roman" w:cs="Times New Roman"/>
                      <w:sz w:val="16"/>
                      <w:szCs w:val="16"/>
                    </w:rPr>
                    <w:t>1</w:t>
                  </w:r>
                  <w:r w:rsidR="0095563E" w:rsidRPr="00FE6D80">
                    <w:rPr>
                      <w:rFonts w:ascii="Times New Roman" w:hAnsi="Times New Roman" w:cs="Times New Roman"/>
                      <w:sz w:val="16"/>
                      <w:szCs w:val="16"/>
                    </w:rPr>
                    <w:t>0</w:t>
                  </w:r>
                  <w:r w:rsidR="0072742B" w:rsidRPr="00FE6D80">
                    <w:rPr>
                      <w:rFonts w:ascii="Times New Roman" w:hAnsi="Times New Roman" w:cs="Times New Roman"/>
                      <w:sz w:val="16"/>
                      <w:szCs w:val="16"/>
                    </w:rPr>
                    <w:t>.000,00</w:t>
                  </w:r>
                </w:p>
              </w:tc>
              <w:tc>
                <w:tcPr>
                  <w:tcW w:w="1134" w:type="dxa"/>
                  <w:shd w:val="clear" w:color="auto" w:fill="auto"/>
                </w:tcPr>
                <w:p w14:paraId="77D226AB" w14:textId="3B9EFCF1" w:rsidR="0072742B" w:rsidRPr="00FE6D80" w:rsidRDefault="000A6BBB" w:rsidP="0072742B">
                  <w:pPr>
                    <w:jc w:val="center"/>
                    <w:rPr>
                      <w:rFonts w:ascii="Times New Roman" w:hAnsi="Times New Roman" w:cs="Times New Roman"/>
                      <w:b/>
                      <w:bCs/>
                      <w:sz w:val="16"/>
                      <w:szCs w:val="16"/>
                    </w:rPr>
                  </w:pPr>
                  <w:r w:rsidRPr="00FE6D80">
                    <w:rPr>
                      <w:rFonts w:ascii="Times New Roman" w:hAnsi="Times New Roman" w:cs="Times New Roman"/>
                      <w:b/>
                      <w:bCs/>
                      <w:sz w:val="16"/>
                      <w:szCs w:val="16"/>
                    </w:rPr>
                    <w:t>5</w:t>
                  </w:r>
                  <w:r w:rsidR="0095563E" w:rsidRPr="00FE6D80">
                    <w:rPr>
                      <w:rFonts w:ascii="Times New Roman" w:hAnsi="Times New Roman" w:cs="Times New Roman"/>
                      <w:b/>
                      <w:bCs/>
                      <w:sz w:val="16"/>
                      <w:szCs w:val="16"/>
                    </w:rPr>
                    <w:t>0</w:t>
                  </w:r>
                  <w:r w:rsidR="001253D4" w:rsidRPr="00FE6D80">
                    <w:rPr>
                      <w:rFonts w:ascii="Times New Roman" w:hAnsi="Times New Roman" w:cs="Times New Roman"/>
                      <w:b/>
                      <w:bCs/>
                      <w:sz w:val="16"/>
                      <w:szCs w:val="16"/>
                    </w:rPr>
                    <w:t>.000,00</w:t>
                  </w:r>
                </w:p>
              </w:tc>
            </w:tr>
            <w:tr w:rsidR="00D6341E" w:rsidRPr="00FE6D80" w14:paraId="34F39051" w14:textId="77777777" w:rsidTr="00E94A0D">
              <w:tc>
                <w:tcPr>
                  <w:tcW w:w="310" w:type="dxa"/>
                </w:tcPr>
                <w:p w14:paraId="1749FA54" w14:textId="3A612BD9" w:rsidR="00D6341E" w:rsidRPr="00FE6D80" w:rsidRDefault="00D6341E" w:rsidP="00D6341E">
                  <w:pPr>
                    <w:jc w:val="center"/>
                    <w:rPr>
                      <w:rFonts w:ascii="Times New Roman" w:hAnsi="Times New Roman" w:cs="Times New Roman"/>
                      <w:sz w:val="16"/>
                      <w:szCs w:val="16"/>
                    </w:rPr>
                  </w:pPr>
                  <w:r w:rsidRPr="00FE6D80">
                    <w:rPr>
                      <w:rFonts w:ascii="Times New Roman" w:hAnsi="Times New Roman" w:cs="Times New Roman"/>
                      <w:sz w:val="16"/>
                      <w:szCs w:val="16"/>
                    </w:rPr>
                    <w:t>3</w:t>
                  </w:r>
                </w:p>
              </w:tc>
              <w:tc>
                <w:tcPr>
                  <w:tcW w:w="992" w:type="dxa"/>
                  <w:shd w:val="clear" w:color="auto" w:fill="auto"/>
                </w:tcPr>
                <w:p w14:paraId="3ABD8490" w14:textId="736CB0A3" w:rsidR="00D6341E" w:rsidRPr="00FE6D80" w:rsidRDefault="003945D9" w:rsidP="00D6341E">
                  <w:pPr>
                    <w:jc w:val="center"/>
                    <w:rPr>
                      <w:rFonts w:ascii="Times New Roman" w:hAnsi="Times New Roman" w:cs="Times New Roman"/>
                      <w:sz w:val="16"/>
                      <w:szCs w:val="16"/>
                    </w:rPr>
                  </w:pPr>
                  <w:r w:rsidRPr="00FE6D80">
                    <w:rPr>
                      <w:rFonts w:ascii="Times New Roman" w:hAnsi="Times New Roman" w:cs="Times New Roman"/>
                      <w:sz w:val="16"/>
                      <w:szCs w:val="16"/>
                    </w:rPr>
                    <w:t>25</w:t>
                  </w:r>
                  <w:r w:rsidR="00D6341E" w:rsidRPr="00FE6D80">
                    <w:rPr>
                      <w:rFonts w:ascii="Times New Roman" w:hAnsi="Times New Roman" w:cs="Times New Roman"/>
                      <w:sz w:val="16"/>
                      <w:szCs w:val="16"/>
                    </w:rPr>
                    <w:t>.000,00</w:t>
                  </w:r>
                </w:p>
              </w:tc>
              <w:tc>
                <w:tcPr>
                  <w:tcW w:w="1276" w:type="dxa"/>
                  <w:shd w:val="clear" w:color="auto" w:fill="auto"/>
                </w:tcPr>
                <w:p w14:paraId="0E1CB30F" w14:textId="2BC1503B" w:rsidR="00D6341E" w:rsidRPr="00FE6D80" w:rsidRDefault="00A85A23" w:rsidP="00D6341E">
                  <w:pPr>
                    <w:jc w:val="center"/>
                    <w:rPr>
                      <w:rFonts w:ascii="Times New Roman" w:hAnsi="Times New Roman" w:cs="Times New Roman"/>
                      <w:sz w:val="16"/>
                      <w:szCs w:val="16"/>
                    </w:rPr>
                  </w:pPr>
                  <w:r w:rsidRPr="00FE6D80">
                    <w:rPr>
                      <w:rFonts w:ascii="Times New Roman" w:hAnsi="Times New Roman" w:cs="Times New Roman"/>
                      <w:sz w:val="16"/>
                      <w:szCs w:val="16"/>
                    </w:rPr>
                    <w:t>2</w:t>
                  </w:r>
                  <w:r w:rsidR="003945D9" w:rsidRPr="00FE6D80">
                    <w:rPr>
                      <w:rFonts w:ascii="Times New Roman" w:hAnsi="Times New Roman" w:cs="Times New Roman"/>
                      <w:sz w:val="16"/>
                      <w:szCs w:val="16"/>
                    </w:rPr>
                    <w:t>5</w:t>
                  </w:r>
                  <w:r w:rsidR="00D6341E" w:rsidRPr="00FE6D80">
                    <w:rPr>
                      <w:rFonts w:ascii="Times New Roman" w:hAnsi="Times New Roman" w:cs="Times New Roman"/>
                      <w:sz w:val="16"/>
                      <w:szCs w:val="16"/>
                    </w:rPr>
                    <w:t>.000,00</w:t>
                  </w:r>
                </w:p>
              </w:tc>
              <w:tc>
                <w:tcPr>
                  <w:tcW w:w="1276" w:type="dxa"/>
                  <w:shd w:val="clear" w:color="auto" w:fill="auto"/>
                </w:tcPr>
                <w:p w14:paraId="7E0E0011" w14:textId="322FBA61" w:rsidR="00D6341E" w:rsidRPr="00FE6D80" w:rsidRDefault="003945D9" w:rsidP="00D6341E">
                  <w:pPr>
                    <w:jc w:val="center"/>
                    <w:rPr>
                      <w:rFonts w:ascii="Times New Roman" w:hAnsi="Times New Roman" w:cs="Times New Roman"/>
                      <w:sz w:val="16"/>
                      <w:szCs w:val="16"/>
                    </w:rPr>
                  </w:pPr>
                  <w:r w:rsidRPr="00FE6D80">
                    <w:rPr>
                      <w:rFonts w:ascii="Times New Roman" w:hAnsi="Times New Roman" w:cs="Times New Roman"/>
                      <w:sz w:val="16"/>
                      <w:szCs w:val="16"/>
                    </w:rPr>
                    <w:t>25</w:t>
                  </w:r>
                  <w:r w:rsidR="00D6341E" w:rsidRPr="00FE6D80">
                    <w:rPr>
                      <w:rFonts w:ascii="Times New Roman" w:hAnsi="Times New Roman" w:cs="Times New Roman"/>
                      <w:sz w:val="16"/>
                      <w:szCs w:val="16"/>
                    </w:rPr>
                    <w:t>.000,00</w:t>
                  </w:r>
                </w:p>
              </w:tc>
              <w:tc>
                <w:tcPr>
                  <w:tcW w:w="1276" w:type="dxa"/>
                  <w:shd w:val="clear" w:color="auto" w:fill="auto"/>
                </w:tcPr>
                <w:p w14:paraId="7A258029" w14:textId="6C0DF7FF" w:rsidR="00D6341E" w:rsidRPr="00FE6D80" w:rsidRDefault="003945D9" w:rsidP="00D6341E">
                  <w:pPr>
                    <w:jc w:val="center"/>
                    <w:rPr>
                      <w:rFonts w:ascii="Times New Roman" w:hAnsi="Times New Roman" w:cs="Times New Roman"/>
                      <w:sz w:val="16"/>
                      <w:szCs w:val="16"/>
                    </w:rPr>
                  </w:pPr>
                  <w:r w:rsidRPr="00FE6D80">
                    <w:rPr>
                      <w:rFonts w:ascii="Times New Roman" w:hAnsi="Times New Roman" w:cs="Times New Roman"/>
                      <w:sz w:val="16"/>
                      <w:szCs w:val="16"/>
                    </w:rPr>
                    <w:t>25</w:t>
                  </w:r>
                  <w:r w:rsidR="00D6341E" w:rsidRPr="00FE6D80">
                    <w:rPr>
                      <w:rFonts w:ascii="Times New Roman" w:hAnsi="Times New Roman" w:cs="Times New Roman"/>
                      <w:sz w:val="16"/>
                      <w:szCs w:val="16"/>
                    </w:rPr>
                    <w:t>.000,00</w:t>
                  </w:r>
                </w:p>
              </w:tc>
              <w:tc>
                <w:tcPr>
                  <w:tcW w:w="1275" w:type="dxa"/>
                  <w:shd w:val="clear" w:color="auto" w:fill="auto"/>
                </w:tcPr>
                <w:p w14:paraId="0BB2ABFE" w14:textId="4A09BCD8" w:rsidR="00D6341E" w:rsidRPr="00FE6D80" w:rsidRDefault="003945D9" w:rsidP="00D6341E">
                  <w:pPr>
                    <w:jc w:val="center"/>
                    <w:rPr>
                      <w:rFonts w:ascii="Times New Roman" w:hAnsi="Times New Roman" w:cs="Times New Roman"/>
                      <w:sz w:val="16"/>
                      <w:szCs w:val="16"/>
                    </w:rPr>
                  </w:pPr>
                  <w:r w:rsidRPr="00FE6D80">
                    <w:rPr>
                      <w:rFonts w:ascii="Times New Roman" w:hAnsi="Times New Roman" w:cs="Times New Roman"/>
                      <w:sz w:val="16"/>
                      <w:szCs w:val="16"/>
                    </w:rPr>
                    <w:t>25</w:t>
                  </w:r>
                  <w:r w:rsidR="00D6341E" w:rsidRPr="00FE6D80">
                    <w:rPr>
                      <w:rFonts w:ascii="Times New Roman" w:hAnsi="Times New Roman" w:cs="Times New Roman"/>
                      <w:sz w:val="16"/>
                      <w:szCs w:val="16"/>
                    </w:rPr>
                    <w:t>.000,00</w:t>
                  </w:r>
                </w:p>
              </w:tc>
              <w:tc>
                <w:tcPr>
                  <w:tcW w:w="1134" w:type="dxa"/>
                  <w:shd w:val="clear" w:color="auto" w:fill="auto"/>
                </w:tcPr>
                <w:p w14:paraId="607CF5EE" w14:textId="1DCAA4DF" w:rsidR="00D6341E" w:rsidRPr="00FE6D80" w:rsidRDefault="00C503E7" w:rsidP="00D6341E">
                  <w:pPr>
                    <w:jc w:val="center"/>
                    <w:rPr>
                      <w:rFonts w:ascii="Times New Roman" w:hAnsi="Times New Roman" w:cs="Times New Roman"/>
                      <w:b/>
                      <w:bCs/>
                      <w:sz w:val="16"/>
                      <w:szCs w:val="16"/>
                    </w:rPr>
                  </w:pPr>
                  <w:r w:rsidRPr="00FE6D80">
                    <w:rPr>
                      <w:rFonts w:ascii="Times New Roman" w:hAnsi="Times New Roman" w:cs="Times New Roman"/>
                      <w:b/>
                      <w:bCs/>
                      <w:sz w:val="16"/>
                      <w:szCs w:val="16"/>
                    </w:rPr>
                    <w:t>125</w:t>
                  </w:r>
                  <w:r w:rsidR="0048105C" w:rsidRPr="00FE6D80">
                    <w:rPr>
                      <w:rFonts w:ascii="Times New Roman" w:hAnsi="Times New Roman" w:cs="Times New Roman"/>
                      <w:b/>
                      <w:bCs/>
                      <w:sz w:val="16"/>
                      <w:szCs w:val="16"/>
                    </w:rPr>
                    <w:t>.000,00</w:t>
                  </w:r>
                </w:p>
              </w:tc>
            </w:tr>
            <w:tr w:rsidR="00D6341E" w:rsidRPr="00FE6D80" w14:paraId="0C0E1FA0" w14:textId="77777777" w:rsidTr="00E94A0D">
              <w:tc>
                <w:tcPr>
                  <w:tcW w:w="310" w:type="dxa"/>
                </w:tcPr>
                <w:p w14:paraId="571F6B78" w14:textId="476A4977" w:rsidR="00D6341E" w:rsidRPr="00FE6D80" w:rsidRDefault="00440F2E" w:rsidP="00D6341E">
                  <w:pPr>
                    <w:jc w:val="center"/>
                    <w:rPr>
                      <w:rFonts w:ascii="Times New Roman" w:hAnsi="Times New Roman" w:cs="Times New Roman"/>
                      <w:sz w:val="16"/>
                      <w:szCs w:val="16"/>
                    </w:rPr>
                  </w:pPr>
                  <w:r w:rsidRPr="00FE6D80">
                    <w:rPr>
                      <w:rFonts w:ascii="Times New Roman" w:hAnsi="Times New Roman" w:cs="Times New Roman"/>
                      <w:sz w:val="16"/>
                      <w:szCs w:val="16"/>
                    </w:rPr>
                    <w:t>4</w:t>
                  </w:r>
                </w:p>
              </w:tc>
              <w:tc>
                <w:tcPr>
                  <w:tcW w:w="992" w:type="dxa"/>
                  <w:shd w:val="clear" w:color="auto" w:fill="auto"/>
                </w:tcPr>
                <w:p w14:paraId="30940529" w14:textId="2CAC9F79" w:rsidR="00D6341E" w:rsidRPr="00FE6D80" w:rsidRDefault="00D47F79" w:rsidP="00D6341E">
                  <w:pPr>
                    <w:jc w:val="center"/>
                    <w:rPr>
                      <w:rFonts w:ascii="Times New Roman" w:hAnsi="Times New Roman" w:cs="Times New Roman"/>
                      <w:sz w:val="16"/>
                      <w:szCs w:val="16"/>
                    </w:rPr>
                  </w:pPr>
                  <w:r w:rsidRPr="00FE6D80">
                    <w:rPr>
                      <w:rFonts w:ascii="Times New Roman" w:hAnsi="Times New Roman" w:cs="Times New Roman"/>
                      <w:sz w:val="16"/>
                      <w:szCs w:val="16"/>
                    </w:rPr>
                    <w:t>10.000,00</w:t>
                  </w:r>
                </w:p>
              </w:tc>
              <w:tc>
                <w:tcPr>
                  <w:tcW w:w="1276" w:type="dxa"/>
                  <w:shd w:val="clear" w:color="auto" w:fill="auto"/>
                </w:tcPr>
                <w:p w14:paraId="3996BC2E" w14:textId="0223C633" w:rsidR="00D6341E" w:rsidRPr="00FE6D80" w:rsidRDefault="003945D9" w:rsidP="00D6341E">
                  <w:pPr>
                    <w:jc w:val="center"/>
                    <w:rPr>
                      <w:rFonts w:ascii="Times New Roman" w:hAnsi="Times New Roman" w:cs="Times New Roman"/>
                      <w:sz w:val="16"/>
                      <w:szCs w:val="16"/>
                    </w:rPr>
                  </w:pPr>
                  <w:r w:rsidRPr="00FE6D80">
                    <w:rPr>
                      <w:rFonts w:ascii="Times New Roman" w:hAnsi="Times New Roman" w:cs="Times New Roman"/>
                      <w:sz w:val="16"/>
                      <w:szCs w:val="16"/>
                    </w:rPr>
                    <w:t>10</w:t>
                  </w:r>
                  <w:r w:rsidR="00265BA2" w:rsidRPr="00FE6D80">
                    <w:rPr>
                      <w:rFonts w:ascii="Times New Roman" w:hAnsi="Times New Roman" w:cs="Times New Roman"/>
                      <w:sz w:val="16"/>
                      <w:szCs w:val="16"/>
                    </w:rPr>
                    <w:t>.000,00</w:t>
                  </w:r>
                </w:p>
              </w:tc>
              <w:tc>
                <w:tcPr>
                  <w:tcW w:w="1276" w:type="dxa"/>
                  <w:shd w:val="clear" w:color="auto" w:fill="auto"/>
                </w:tcPr>
                <w:p w14:paraId="66BDF2B9" w14:textId="2337E0BF" w:rsidR="00D6341E" w:rsidRPr="00FE6D80" w:rsidRDefault="00265BA2" w:rsidP="00D6341E">
                  <w:pPr>
                    <w:jc w:val="center"/>
                    <w:rPr>
                      <w:rFonts w:ascii="Times New Roman" w:hAnsi="Times New Roman" w:cs="Times New Roman"/>
                      <w:sz w:val="16"/>
                      <w:szCs w:val="16"/>
                    </w:rPr>
                  </w:pPr>
                  <w:r w:rsidRPr="00FE6D80">
                    <w:rPr>
                      <w:rFonts w:ascii="Times New Roman" w:hAnsi="Times New Roman" w:cs="Times New Roman"/>
                      <w:sz w:val="16"/>
                      <w:szCs w:val="16"/>
                    </w:rPr>
                    <w:t>1</w:t>
                  </w:r>
                  <w:r w:rsidR="004F279E" w:rsidRPr="00FE6D80">
                    <w:rPr>
                      <w:rFonts w:ascii="Times New Roman" w:hAnsi="Times New Roman" w:cs="Times New Roman"/>
                      <w:sz w:val="16"/>
                      <w:szCs w:val="16"/>
                    </w:rPr>
                    <w:t>2</w:t>
                  </w:r>
                  <w:r w:rsidR="00DE7277" w:rsidRPr="00FE6D80">
                    <w:rPr>
                      <w:rFonts w:ascii="Times New Roman" w:hAnsi="Times New Roman" w:cs="Times New Roman"/>
                      <w:sz w:val="16"/>
                      <w:szCs w:val="16"/>
                    </w:rPr>
                    <w:t>.</w:t>
                  </w:r>
                  <w:r w:rsidR="004F279E" w:rsidRPr="00FE6D80">
                    <w:rPr>
                      <w:rFonts w:ascii="Times New Roman" w:hAnsi="Times New Roman" w:cs="Times New Roman"/>
                      <w:sz w:val="16"/>
                      <w:szCs w:val="16"/>
                    </w:rPr>
                    <w:t>5</w:t>
                  </w:r>
                  <w:r w:rsidRPr="00FE6D80">
                    <w:rPr>
                      <w:rFonts w:ascii="Times New Roman" w:hAnsi="Times New Roman" w:cs="Times New Roman"/>
                      <w:sz w:val="16"/>
                      <w:szCs w:val="16"/>
                    </w:rPr>
                    <w:t>00,00</w:t>
                  </w:r>
                </w:p>
              </w:tc>
              <w:tc>
                <w:tcPr>
                  <w:tcW w:w="1276" w:type="dxa"/>
                  <w:shd w:val="clear" w:color="auto" w:fill="auto"/>
                </w:tcPr>
                <w:p w14:paraId="20157E06" w14:textId="24A3E28D" w:rsidR="00D6341E" w:rsidRPr="00FE6D80" w:rsidRDefault="004F279E" w:rsidP="00D6341E">
                  <w:pPr>
                    <w:jc w:val="center"/>
                    <w:rPr>
                      <w:rFonts w:ascii="Times New Roman" w:hAnsi="Times New Roman" w:cs="Times New Roman"/>
                      <w:sz w:val="16"/>
                      <w:szCs w:val="16"/>
                    </w:rPr>
                  </w:pPr>
                  <w:r w:rsidRPr="00FE6D80">
                    <w:rPr>
                      <w:rFonts w:ascii="Times New Roman" w:hAnsi="Times New Roman" w:cs="Times New Roman"/>
                      <w:sz w:val="16"/>
                      <w:szCs w:val="16"/>
                    </w:rPr>
                    <w:t>12</w:t>
                  </w:r>
                  <w:r w:rsidR="00DE7277" w:rsidRPr="00FE6D80">
                    <w:rPr>
                      <w:rFonts w:ascii="Times New Roman" w:hAnsi="Times New Roman" w:cs="Times New Roman"/>
                      <w:sz w:val="16"/>
                      <w:szCs w:val="16"/>
                    </w:rPr>
                    <w:t>.</w:t>
                  </w:r>
                  <w:r w:rsidRPr="00FE6D80">
                    <w:rPr>
                      <w:rFonts w:ascii="Times New Roman" w:hAnsi="Times New Roman" w:cs="Times New Roman"/>
                      <w:sz w:val="16"/>
                      <w:szCs w:val="16"/>
                    </w:rPr>
                    <w:t>5</w:t>
                  </w:r>
                  <w:r w:rsidR="00265BA2" w:rsidRPr="00FE6D80">
                    <w:rPr>
                      <w:rFonts w:ascii="Times New Roman" w:hAnsi="Times New Roman" w:cs="Times New Roman"/>
                      <w:sz w:val="16"/>
                      <w:szCs w:val="16"/>
                    </w:rPr>
                    <w:t>00,00</w:t>
                  </w:r>
                </w:p>
              </w:tc>
              <w:tc>
                <w:tcPr>
                  <w:tcW w:w="1275" w:type="dxa"/>
                  <w:shd w:val="clear" w:color="auto" w:fill="auto"/>
                </w:tcPr>
                <w:p w14:paraId="73906559" w14:textId="20BEDC60" w:rsidR="00D6341E" w:rsidRPr="00FE6D80" w:rsidRDefault="004F279E" w:rsidP="00D6341E">
                  <w:pPr>
                    <w:jc w:val="center"/>
                    <w:rPr>
                      <w:rFonts w:ascii="Times New Roman" w:hAnsi="Times New Roman" w:cs="Times New Roman"/>
                      <w:sz w:val="16"/>
                      <w:szCs w:val="16"/>
                    </w:rPr>
                  </w:pPr>
                  <w:r w:rsidRPr="00FE6D80">
                    <w:rPr>
                      <w:rFonts w:ascii="Times New Roman" w:hAnsi="Times New Roman" w:cs="Times New Roman"/>
                      <w:sz w:val="16"/>
                      <w:szCs w:val="16"/>
                    </w:rPr>
                    <w:t>15</w:t>
                  </w:r>
                  <w:r w:rsidR="00265BA2" w:rsidRPr="00FE6D80">
                    <w:rPr>
                      <w:rFonts w:ascii="Times New Roman" w:hAnsi="Times New Roman" w:cs="Times New Roman"/>
                      <w:sz w:val="16"/>
                      <w:szCs w:val="16"/>
                    </w:rPr>
                    <w:t>.000,00</w:t>
                  </w:r>
                </w:p>
              </w:tc>
              <w:tc>
                <w:tcPr>
                  <w:tcW w:w="1134" w:type="dxa"/>
                  <w:shd w:val="clear" w:color="auto" w:fill="auto"/>
                </w:tcPr>
                <w:p w14:paraId="058CF7E1" w14:textId="3CF1B78E" w:rsidR="00D6341E" w:rsidRPr="00FE6D80" w:rsidRDefault="00C503E7" w:rsidP="00D6341E">
                  <w:pPr>
                    <w:jc w:val="center"/>
                    <w:rPr>
                      <w:rFonts w:ascii="Times New Roman" w:hAnsi="Times New Roman" w:cs="Times New Roman"/>
                      <w:b/>
                      <w:bCs/>
                      <w:sz w:val="16"/>
                      <w:szCs w:val="16"/>
                    </w:rPr>
                  </w:pPr>
                  <w:r w:rsidRPr="00FE6D80">
                    <w:rPr>
                      <w:rFonts w:ascii="Times New Roman" w:hAnsi="Times New Roman" w:cs="Times New Roman"/>
                      <w:b/>
                      <w:bCs/>
                      <w:sz w:val="16"/>
                      <w:szCs w:val="16"/>
                    </w:rPr>
                    <w:t>60</w:t>
                  </w:r>
                  <w:r w:rsidR="00265BA2" w:rsidRPr="00FE6D80">
                    <w:rPr>
                      <w:rFonts w:ascii="Times New Roman" w:hAnsi="Times New Roman" w:cs="Times New Roman"/>
                      <w:b/>
                      <w:bCs/>
                      <w:sz w:val="16"/>
                      <w:szCs w:val="16"/>
                    </w:rPr>
                    <w:t>.000,00</w:t>
                  </w:r>
                </w:p>
              </w:tc>
            </w:tr>
            <w:tr w:rsidR="00C01D8C" w:rsidRPr="00FE6D80" w14:paraId="3847735D" w14:textId="77777777" w:rsidTr="00E94A0D">
              <w:tc>
                <w:tcPr>
                  <w:tcW w:w="310" w:type="dxa"/>
                </w:tcPr>
                <w:p w14:paraId="2C59E8AC" w14:textId="53913DF6" w:rsidR="00C01D8C" w:rsidRPr="00FE6D80" w:rsidRDefault="00440F2E" w:rsidP="00D6341E">
                  <w:pPr>
                    <w:jc w:val="center"/>
                    <w:rPr>
                      <w:rFonts w:ascii="Times New Roman" w:hAnsi="Times New Roman" w:cs="Times New Roman"/>
                      <w:sz w:val="16"/>
                      <w:szCs w:val="16"/>
                    </w:rPr>
                  </w:pPr>
                  <w:r w:rsidRPr="00FE6D80">
                    <w:rPr>
                      <w:rFonts w:ascii="Times New Roman" w:hAnsi="Times New Roman" w:cs="Times New Roman"/>
                      <w:sz w:val="16"/>
                      <w:szCs w:val="16"/>
                    </w:rPr>
                    <w:t>5</w:t>
                  </w:r>
                </w:p>
              </w:tc>
              <w:tc>
                <w:tcPr>
                  <w:tcW w:w="992" w:type="dxa"/>
                  <w:shd w:val="clear" w:color="auto" w:fill="auto"/>
                </w:tcPr>
                <w:p w14:paraId="103FDDE9" w14:textId="201B9D54" w:rsidR="00C01D8C" w:rsidRPr="00FE6D80" w:rsidRDefault="008D2BE6" w:rsidP="00D6341E">
                  <w:pPr>
                    <w:jc w:val="center"/>
                    <w:rPr>
                      <w:rFonts w:ascii="Times New Roman" w:hAnsi="Times New Roman" w:cs="Times New Roman"/>
                      <w:sz w:val="16"/>
                      <w:szCs w:val="16"/>
                    </w:rPr>
                  </w:pPr>
                  <w:r w:rsidRPr="00FE6D80">
                    <w:rPr>
                      <w:rFonts w:ascii="Times New Roman" w:hAnsi="Times New Roman" w:cs="Times New Roman"/>
                      <w:sz w:val="16"/>
                      <w:szCs w:val="16"/>
                    </w:rPr>
                    <w:t>1</w:t>
                  </w:r>
                  <w:r w:rsidR="008D6908" w:rsidRPr="00FE6D80">
                    <w:rPr>
                      <w:rFonts w:ascii="Times New Roman" w:hAnsi="Times New Roman" w:cs="Times New Roman"/>
                      <w:sz w:val="16"/>
                      <w:szCs w:val="16"/>
                    </w:rPr>
                    <w:t>0.000,00</w:t>
                  </w:r>
                </w:p>
              </w:tc>
              <w:tc>
                <w:tcPr>
                  <w:tcW w:w="1276" w:type="dxa"/>
                  <w:shd w:val="clear" w:color="auto" w:fill="auto"/>
                </w:tcPr>
                <w:p w14:paraId="7D30FBCC" w14:textId="5E6F51B7" w:rsidR="00C01D8C" w:rsidRPr="00FE6D80" w:rsidRDefault="008D2BE6" w:rsidP="00D6341E">
                  <w:pPr>
                    <w:jc w:val="center"/>
                    <w:rPr>
                      <w:rFonts w:ascii="Times New Roman" w:hAnsi="Times New Roman" w:cs="Times New Roman"/>
                      <w:sz w:val="16"/>
                      <w:szCs w:val="16"/>
                    </w:rPr>
                  </w:pPr>
                  <w:r w:rsidRPr="00FE6D80">
                    <w:rPr>
                      <w:rFonts w:ascii="Times New Roman" w:hAnsi="Times New Roman" w:cs="Times New Roman"/>
                      <w:sz w:val="16"/>
                      <w:szCs w:val="16"/>
                    </w:rPr>
                    <w:t>10</w:t>
                  </w:r>
                  <w:r w:rsidR="00440F2E" w:rsidRPr="00FE6D80">
                    <w:rPr>
                      <w:rFonts w:ascii="Times New Roman" w:hAnsi="Times New Roman" w:cs="Times New Roman"/>
                      <w:sz w:val="16"/>
                      <w:szCs w:val="16"/>
                    </w:rPr>
                    <w:t>.000,00</w:t>
                  </w:r>
                </w:p>
              </w:tc>
              <w:tc>
                <w:tcPr>
                  <w:tcW w:w="1276" w:type="dxa"/>
                  <w:shd w:val="clear" w:color="auto" w:fill="auto"/>
                </w:tcPr>
                <w:p w14:paraId="5B38BE3D" w14:textId="4643DC7B" w:rsidR="00C01D8C" w:rsidRPr="00FE6D80" w:rsidRDefault="008D6908" w:rsidP="00D6341E">
                  <w:pPr>
                    <w:jc w:val="center"/>
                    <w:rPr>
                      <w:rFonts w:ascii="Times New Roman" w:hAnsi="Times New Roman" w:cs="Times New Roman"/>
                      <w:sz w:val="16"/>
                      <w:szCs w:val="16"/>
                    </w:rPr>
                  </w:pPr>
                  <w:r w:rsidRPr="00FE6D80">
                    <w:rPr>
                      <w:rFonts w:ascii="Times New Roman" w:hAnsi="Times New Roman" w:cs="Times New Roman"/>
                      <w:sz w:val="16"/>
                      <w:szCs w:val="16"/>
                    </w:rPr>
                    <w:t>10.000,00</w:t>
                  </w:r>
                </w:p>
              </w:tc>
              <w:tc>
                <w:tcPr>
                  <w:tcW w:w="1276" w:type="dxa"/>
                  <w:shd w:val="clear" w:color="auto" w:fill="auto"/>
                </w:tcPr>
                <w:p w14:paraId="2AE71130" w14:textId="7C866008" w:rsidR="00C01D8C" w:rsidRPr="00FE6D80" w:rsidRDefault="008D6908" w:rsidP="00D6341E">
                  <w:pPr>
                    <w:jc w:val="center"/>
                    <w:rPr>
                      <w:rFonts w:ascii="Times New Roman" w:hAnsi="Times New Roman" w:cs="Times New Roman"/>
                      <w:sz w:val="16"/>
                      <w:szCs w:val="16"/>
                    </w:rPr>
                  </w:pPr>
                  <w:r w:rsidRPr="00FE6D80">
                    <w:rPr>
                      <w:rFonts w:ascii="Times New Roman" w:hAnsi="Times New Roman" w:cs="Times New Roman"/>
                      <w:sz w:val="16"/>
                      <w:szCs w:val="16"/>
                    </w:rPr>
                    <w:t>15.000,00</w:t>
                  </w:r>
                </w:p>
              </w:tc>
              <w:tc>
                <w:tcPr>
                  <w:tcW w:w="1275" w:type="dxa"/>
                  <w:shd w:val="clear" w:color="auto" w:fill="auto"/>
                </w:tcPr>
                <w:p w14:paraId="7D8B2EE8" w14:textId="6F9ECE24" w:rsidR="00C01D8C" w:rsidRPr="00FE6D80" w:rsidRDefault="008D2BE6" w:rsidP="00D6341E">
                  <w:pPr>
                    <w:jc w:val="center"/>
                    <w:rPr>
                      <w:rFonts w:ascii="Times New Roman" w:hAnsi="Times New Roman" w:cs="Times New Roman"/>
                      <w:sz w:val="16"/>
                      <w:szCs w:val="16"/>
                    </w:rPr>
                  </w:pPr>
                  <w:r w:rsidRPr="00FE6D80">
                    <w:rPr>
                      <w:rFonts w:ascii="Times New Roman" w:hAnsi="Times New Roman" w:cs="Times New Roman"/>
                      <w:sz w:val="16"/>
                      <w:szCs w:val="16"/>
                    </w:rPr>
                    <w:t>20</w:t>
                  </w:r>
                  <w:r w:rsidR="008D6908" w:rsidRPr="00FE6D80">
                    <w:rPr>
                      <w:rFonts w:ascii="Times New Roman" w:hAnsi="Times New Roman" w:cs="Times New Roman"/>
                      <w:sz w:val="16"/>
                      <w:szCs w:val="16"/>
                    </w:rPr>
                    <w:t>.000,00</w:t>
                  </w:r>
                </w:p>
              </w:tc>
              <w:tc>
                <w:tcPr>
                  <w:tcW w:w="1134" w:type="dxa"/>
                  <w:shd w:val="clear" w:color="auto" w:fill="auto"/>
                </w:tcPr>
                <w:p w14:paraId="5F937DA1" w14:textId="3E78F71D" w:rsidR="00C01D8C" w:rsidRPr="00FE6D80" w:rsidRDefault="00C503E7" w:rsidP="00D6341E">
                  <w:pPr>
                    <w:jc w:val="center"/>
                    <w:rPr>
                      <w:rFonts w:ascii="Times New Roman" w:hAnsi="Times New Roman" w:cs="Times New Roman"/>
                      <w:b/>
                      <w:bCs/>
                      <w:sz w:val="16"/>
                      <w:szCs w:val="16"/>
                    </w:rPr>
                  </w:pPr>
                  <w:r w:rsidRPr="00FE6D80">
                    <w:rPr>
                      <w:rFonts w:ascii="Times New Roman" w:hAnsi="Times New Roman" w:cs="Times New Roman"/>
                      <w:b/>
                      <w:bCs/>
                      <w:sz w:val="16"/>
                      <w:szCs w:val="16"/>
                    </w:rPr>
                    <w:t>65</w:t>
                  </w:r>
                  <w:r w:rsidR="00440F2E" w:rsidRPr="00FE6D80">
                    <w:rPr>
                      <w:rFonts w:ascii="Times New Roman" w:hAnsi="Times New Roman" w:cs="Times New Roman"/>
                      <w:b/>
                      <w:bCs/>
                      <w:sz w:val="16"/>
                      <w:szCs w:val="16"/>
                    </w:rPr>
                    <w:t>.000,00</w:t>
                  </w:r>
                </w:p>
              </w:tc>
            </w:tr>
          </w:tbl>
          <w:p w14:paraId="205E18F6" w14:textId="26F8A3AC" w:rsidR="005C67AA" w:rsidRPr="00FE6D80" w:rsidRDefault="00B3339E" w:rsidP="004557F1">
            <w:pPr>
              <w:spacing w:before="120" w:after="120"/>
              <w:jc w:val="both"/>
              <w:rPr>
                <w:rFonts w:ascii="Times New Roman" w:hAnsi="Times New Roman" w:cs="Times New Roman"/>
                <w:sz w:val="16"/>
                <w:szCs w:val="16"/>
              </w:rPr>
            </w:pPr>
            <w:r w:rsidRPr="00FE6D80">
              <w:rPr>
                <w:rFonts w:ascii="Times New Roman" w:hAnsi="Times New Roman" w:cs="Times New Roman"/>
                <w:sz w:val="16"/>
                <w:szCs w:val="16"/>
              </w:rPr>
              <w:t xml:space="preserve">Poz. 1. </w:t>
            </w:r>
            <w:r w:rsidR="004557F1">
              <w:rPr>
                <w:rFonts w:ascii="Times New Roman" w:hAnsi="Times New Roman" w:cs="Times New Roman"/>
                <w:sz w:val="16"/>
                <w:szCs w:val="16"/>
              </w:rPr>
              <w:t>K</w:t>
            </w:r>
            <w:r w:rsidR="00B124F1" w:rsidRPr="00FE6D80">
              <w:rPr>
                <w:rFonts w:ascii="Times New Roman" w:hAnsi="Times New Roman" w:cs="Times New Roman"/>
                <w:sz w:val="16"/>
                <w:szCs w:val="16"/>
              </w:rPr>
              <w:t>oszty związane z zakupem oprogramowania</w:t>
            </w:r>
            <w:r w:rsidR="00E94018" w:rsidRPr="00FE6D80">
              <w:rPr>
                <w:rFonts w:ascii="Times New Roman" w:hAnsi="Times New Roman" w:cs="Times New Roman"/>
                <w:sz w:val="16"/>
                <w:szCs w:val="16"/>
              </w:rPr>
              <w:t xml:space="preserve"> do</w:t>
            </w:r>
            <w:r w:rsidR="00B124F1" w:rsidRPr="00FE6D80">
              <w:rPr>
                <w:rFonts w:ascii="Times New Roman" w:hAnsi="Times New Roman" w:cs="Times New Roman"/>
                <w:sz w:val="16"/>
                <w:szCs w:val="16"/>
              </w:rPr>
              <w:t xml:space="preserve"> </w:t>
            </w:r>
            <w:r w:rsidR="002A3D62" w:rsidRPr="00FE6D80">
              <w:rPr>
                <w:rFonts w:ascii="Times New Roman" w:hAnsi="Times New Roman" w:cs="Times New Roman"/>
                <w:sz w:val="16"/>
                <w:szCs w:val="16"/>
              </w:rPr>
              <w:t>tworzenia oprogramowania (licencje dla zespołu IT)</w:t>
            </w:r>
            <w:r w:rsidR="00BC76CC" w:rsidRPr="00FE6D80">
              <w:rPr>
                <w:rFonts w:ascii="Times New Roman" w:hAnsi="Times New Roman" w:cs="Times New Roman"/>
                <w:sz w:val="16"/>
                <w:szCs w:val="16"/>
              </w:rPr>
              <w:t>;</w:t>
            </w:r>
            <w:r w:rsidR="00040539" w:rsidRPr="00FE6D80">
              <w:rPr>
                <w:rFonts w:ascii="Times New Roman" w:hAnsi="Times New Roman" w:cs="Times New Roman"/>
                <w:sz w:val="16"/>
                <w:szCs w:val="16"/>
              </w:rPr>
              <w:t xml:space="preserve"> ok. 5</w:t>
            </w:r>
            <w:r w:rsidR="00EA7B6F" w:rsidRPr="00FE6D80">
              <w:rPr>
                <w:rFonts w:ascii="Times New Roman" w:hAnsi="Times New Roman" w:cs="Times New Roman"/>
                <w:sz w:val="16"/>
                <w:szCs w:val="16"/>
              </w:rPr>
              <w:t>.</w:t>
            </w:r>
            <w:r w:rsidR="00040539" w:rsidRPr="00FE6D80">
              <w:rPr>
                <w:rFonts w:ascii="Times New Roman" w:hAnsi="Times New Roman" w:cs="Times New Roman"/>
                <w:sz w:val="16"/>
                <w:szCs w:val="16"/>
              </w:rPr>
              <w:t xml:space="preserve">000 </w:t>
            </w:r>
            <w:r w:rsidR="00E95118" w:rsidRPr="00FE6D80">
              <w:rPr>
                <w:rFonts w:ascii="Times New Roman" w:hAnsi="Times New Roman" w:cs="Times New Roman"/>
                <w:sz w:val="16"/>
                <w:szCs w:val="16"/>
              </w:rPr>
              <w:t xml:space="preserve">zł </w:t>
            </w:r>
            <w:r w:rsidR="00040539" w:rsidRPr="00FE6D80">
              <w:rPr>
                <w:rFonts w:ascii="Times New Roman" w:hAnsi="Times New Roman" w:cs="Times New Roman"/>
                <w:sz w:val="16"/>
                <w:szCs w:val="16"/>
              </w:rPr>
              <w:t>za licencję rocznie x liczba użytkowników</w:t>
            </w:r>
            <w:r w:rsidR="00A359E0" w:rsidRPr="00FE6D80">
              <w:rPr>
                <w:rFonts w:ascii="Times New Roman" w:hAnsi="Times New Roman" w:cs="Times New Roman"/>
                <w:sz w:val="16"/>
                <w:szCs w:val="16"/>
              </w:rPr>
              <w:t xml:space="preserve"> (</w:t>
            </w:r>
            <w:r w:rsidR="0083621C" w:rsidRPr="00FE6D80">
              <w:rPr>
                <w:rFonts w:ascii="Times New Roman" w:hAnsi="Times New Roman" w:cs="Times New Roman"/>
                <w:sz w:val="16"/>
                <w:szCs w:val="16"/>
              </w:rPr>
              <w:t>1 etat dzielony na kilku użytkowników</w:t>
            </w:r>
            <w:r w:rsidR="00A359E0" w:rsidRPr="00FE6D80">
              <w:rPr>
                <w:rFonts w:ascii="Times New Roman" w:hAnsi="Times New Roman" w:cs="Times New Roman"/>
                <w:sz w:val="16"/>
                <w:szCs w:val="16"/>
              </w:rPr>
              <w:t>)</w:t>
            </w:r>
            <w:r w:rsidR="004557F1">
              <w:rPr>
                <w:rFonts w:ascii="Times New Roman" w:hAnsi="Times New Roman" w:cs="Times New Roman"/>
                <w:sz w:val="16"/>
                <w:szCs w:val="16"/>
              </w:rPr>
              <w:t>.</w:t>
            </w:r>
          </w:p>
          <w:p w14:paraId="40EE8123" w14:textId="290F30D8" w:rsidR="005C67AA" w:rsidRPr="00FE6D80" w:rsidRDefault="005C67AA" w:rsidP="004557F1">
            <w:pPr>
              <w:spacing w:before="120" w:after="120"/>
              <w:jc w:val="both"/>
              <w:rPr>
                <w:rFonts w:ascii="Times New Roman" w:hAnsi="Times New Roman" w:cs="Times New Roman"/>
                <w:sz w:val="16"/>
                <w:szCs w:val="16"/>
              </w:rPr>
            </w:pPr>
            <w:r w:rsidRPr="00FE6D80">
              <w:rPr>
                <w:rFonts w:ascii="Times New Roman" w:hAnsi="Times New Roman" w:cs="Times New Roman"/>
                <w:sz w:val="16"/>
                <w:szCs w:val="16"/>
              </w:rPr>
              <w:t xml:space="preserve">Poz. 2. </w:t>
            </w:r>
            <w:r w:rsidR="0007465C" w:rsidRPr="00FE6D80">
              <w:rPr>
                <w:rFonts w:ascii="Times New Roman" w:hAnsi="Times New Roman" w:cs="Times New Roman"/>
                <w:sz w:val="16"/>
                <w:szCs w:val="16"/>
              </w:rPr>
              <w:t>Koszt</w:t>
            </w:r>
            <w:r w:rsidR="0062028A" w:rsidRPr="00FE6D80">
              <w:rPr>
                <w:rFonts w:ascii="Times New Roman" w:hAnsi="Times New Roman" w:cs="Times New Roman"/>
                <w:sz w:val="16"/>
                <w:szCs w:val="16"/>
              </w:rPr>
              <w:t>y</w:t>
            </w:r>
            <w:r w:rsidR="0007465C" w:rsidRPr="00FE6D80">
              <w:rPr>
                <w:rFonts w:ascii="Times New Roman" w:hAnsi="Times New Roman" w:cs="Times New Roman"/>
                <w:sz w:val="16"/>
                <w:szCs w:val="16"/>
              </w:rPr>
              <w:t xml:space="preserve"> </w:t>
            </w:r>
            <w:r w:rsidR="007B68B9" w:rsidRPr="00FE6D80">
              <w:rPr>
                <w:rFonts w:ascii="Times New Roman" w:hAnsi="Times New Roman" w:cs="Times New Roman"/>
                <w:sz w:val="16"/>
                <w:szCs w:val="16"/>
              </w:rPr>
              <w:t>związane z zakupem dedykowanego oprogramowania do współpracy programistycznej (licencje d</w:t>
            </w:r>
            <w:r w:rsidR="001253D4" w:rsidRPr="00FE6D80">
              <w:rPr>
                <w:rFonts w:ascii="Times New Roman" w:hAnsi="Times New Roman" w:cs="Times New Roman"/>
                <w:sz w:val="16"/>
                <w:szCs w:val="16"/>
              </w:rPr>
              <w:t>la</w:t>
            </w:r>
            <w:r w:rsidR="007B68B9" w:rsidRPr="00FE6D80">
              <w:rPr>
                <w:rFonts w:ascii="Times New Roman" w:hAnsi="Times New Roman" w:cs="Times New Roman"/>
                <w:sz w:val="16"/>
                <w:szCs w:val="16"/>
              </w:rPr>
              <w:t xml:space="preserve"> zespołu IT)</w:t>
            </w:r>
            <w:r w:rsidR="00BC76CC" w:rsidRPr="00FE6D80">
              <w:rPr>
                <w:rFonts w:ascii="Times New Roman" w:hAnsi="Times New Roman" w:cs="Times New Roman"/>
                <w:sz w:val="16"/>
                <w:szCs w:val="16"/>
              </w:rPr>
              <w:t>;</w:t>
            </w:r>
            <w:r w:rsidR="007B68B9" w:rsidRPr="00FE6D80">
              <w:rPr>
                <w:rFonts w:ascii="Times New Roman" w:hAnsi="Times New Roman" w:cs="Times New Roman"/>
                <w:sz w:val="16"/>
                <w:szCs w:val="16"/>
              </w:rPr>
              <w:t xml:space="preserve"> ok. 1.</w:t>
            </w:r>
            <w:r w:rsidR="001A7876" w:rsidRPr="00FE6D80">
              <w:rPr>
                <w:rFonts w:ascii="Times New Roman" w:hAnsi="Times New Roman" w:cs="Times New Roman"/>
                <w:sz w:val="16"/>
                <w:szCs w:val="16"/>
              </w:rPr>
              <w:t>0</w:t>
            </w:r>
            <w:r w:rsidR="007B68B9" w:rsidRPr="00FE6D80">
              <w:rPr>
                <w:rFonts w:ascii="Times New Roman" w:hAnsi="Times New Roman" w:cs="Times New Roman"/>
                <w:sz w:val="16"/>
                <w:szCs w:val="16"/>
              </w:rPr>
              <w:t>00</w:t>
            </w:r>
            <w:r w:rsidR="00E95118" w:rsidRPr="00FE6D80">
              <w:rPr>
                <w:rFonts w:ascii="Times New Roman" w:hAnsi="Times New Roman" w:cs="Times New Roman"/>
                <w:sz w:val="16"/>
                <w:szCs w:val="16"/>
              </w:rPr>
              <w:t xml:space="preserve"> zł</w:t>
            </w:r>
            <w:r w:rsidR="006B5322" w:rsidRPr="00FE6D80">
              <w:rPr>
                <w:rFonts w:ascii="Times New Roman" w:hAnsi="Times New Roman" w:cs="Times New Roman"/>
                <w:sz w:val="16"/>
                <w:szCs w:val="16"/>
              </w:rPr>
              <w:t xml:space="preserve"> x licencja roczna x liczba użytkowników</w:t>
            </w:r>
            <w:r w:rsidR="00063518" w:rsidRPr="00FE6D80">
              <w:rPr>
                <w:rFonts w:ascii="Times New Roman" w:hAnsi="Times New Roman" w:cs="Times New Roman"/>
                <w:sz w:val="16"/>
                <w:szCs w:val="16"/>
              </w:rPr>
              <w:t xml:space="preserve"> </w:t>
            </w:r>
            <w:r w:rsidR="00812031" w:rsidRPr="00FE6D80">
              <w:rPr>
                <w:rFonts w:ascii="Times New Roman" w:hAnsi="Times New Roman" w:cs="Times New Roman"/>
                <w:sz w:val="16"/>
                <w:szCs w:val="16"/>
              </w:rPr>
              <w:t xml:space="preserve">(1 etat dzielony na kilku użytkowników) </w:t>
            </w:r>
            <w:r w:rsidR="00063518" w:rsidRPr="00FE6D80">
              <w:rPr>
                <w:rFonts w:ascii="Times New Roman" w:hAnsi="Times New Roman" w:cs="Times New Roman"/>
                <w:sz w:val="16"/>
                <w:szCs w:val="16"/>
              </w:rPr>
              <w:t xml:space="preserve">dla każdego z </w:t>
            </w:r>
            <w:r w:rsidR="0095563E" w:rsidRPr="00FE6D80">
              <w:rPr>
                <w:rFonts w:ascii="Times New Roman" w:hAnsi="Times New Roman" w:cs="Times New Roman"/>
                <w:sz w:val="16"/>
                <w:szCs w:val="16"/>
              </w:rPr>
              <w:t xml:space="preserve">rodzajów </w:t>
            </w:r>
            <w:proofErr w:type="spellStart"/>
            <w:r w:rsidR="0095563E" w:rsidRPr="00FE6D80">
              <w:rPr>
                <w:rFonts w:ascii="Times New Roman" w:hAnsi="Times New Roman" w:cs="Times New Roman"/>
                <w:sz w:val="16"/>
                <w:szCs w:val="16"/>
              </w:rPr>
              <w:t>oprogramowań</w:t>
            </w:r>
            <w:proofErr w:type="spellEnd"/>
            <w:r w:rsidR="0095563E" w:rsidRPr="00FE6D80">
              <w:rPr>
                <w:rFonts w:ascii="Times New Roman" w:hAnsi="Times New Roman" w:cs="Times New Roman"/>
                <w:sz w:val="16"/>
                <w:szCs w:val="16"/>
              </w:rPr>
              <w:t xml:space="preserve"> (szacowane 2 </w:t>
            </w:r>
            <w:r w:rsidR="00A359E0" w:rsidRPr="00FE6D80">
              <w:rPr>
                <w:rFonts w:ascii="Times New Roman" w:hAnsi="Times New Roman" w:cs="Times New Roman"/>
                <w:sz w:val="16"/>
                <w:szCs w:val="16"/>
              </w:rPr>
              <w:t>typy</w:t>
            </w:r>
            <w:r w:rsidR="0095563E" w:rsidRPr="00FE6D80">
              <w:rPr>
                <w:rFonts w:ascii="Times New Roman" w:hAnsi="Times New Roman" w:cs="Times New Roman"/>
                <w:sz w:val="16"/>
                <w:szCs w:val="16"/>
              </w:rPr>
              <w:t>)</w:t>
            </w:r>
            <w:r w:rsidR="006B5322" w:rsidRPr="00FE6D80">
              <w:rPr>
                <w:rFonts w:ascii="Times New Roman" w:hAnsi="Times New Roman" w:cs="Times New Roman"/>
                <w:sz w:val="16"/>
                <w:szCs w:val="16"/>
              </w:rPr>
              <w:t xml:space="preserve">. Rzeczywisty koszt ustalony według </w:t>
            </w:r>
            <w:r w:rsidR="0072742B" w:rsidRPr="00FE6D80">
              <w:rPr>
                <w:rFonts w:ascii="Times New Roman" w:hAnsi="Times New Roman" w:cs="Times New Roman"/>
                <w:sz w:val="16"/>
                <w:szCs w:val="16"/>
              </w:rPr>
              <w:t>rzeczywistego zużycia.</w:t>
            </w:r>
          </w:p>
          <w:p w14:paraId="6D97B655" w14:textId="7F6A0552" w:rsidR="00B3339E" w:rsidRPr="00FE6D80" w:rsidRDefault="00B124F1" w:rsidP="004557F1">
            <w:pPr>
              <w:spacing w:before="120" w:after="120"/>
              <w:jc w:val="both"/>
              <w:rPr>
                <w:rFonts w:ascii="Times New Roman" w:hAnsi="Times New Roman" w:cs="Times New Roman"/>
                <w:sz w:val="16"/>
                <w:szCs w:val="16"/>
              </w:rPr>
            </w:pPr>
            <w:r w:rsidRPr="00FE6D80">
              <w:rPr>
                <w:rFonts w:ascii="Times New Roman" w:hAnsi="Times New Roman" w:cs="Times New Roman"/>
                <w:sz w:val="16"/>
                <w:szCs w:val="16"/>
              </w:rPr>
              <w:t xml:space="preserve"> </w:t>
            </w:r>
            <w:r w:rsidR="000D2F87" w:rsidRPr="00FE6D80">
              <w:rPr>
                <w:rFonts w:ascii="Times New Roman" w:hAnsi="Times New Roman" w:cs="Times New Roman"/>
                <w:sz w:val="16"/>
                <w:szCs w:val="16"/>
              </w:rPr>
              <w:t xml:space="preserve">Poz. 3. </w:t>
            </w:r>
            <w:r w:rsidR="0062028A" w:rsidRPr="00FE6D80">
              <w:rPr>
                <w:rFonts w:ascii="Times New Roman" w:hAnsi="Times New Roman" w:cs="Times New Roman"/>
                <w:sz w:val="16"/>
                <w:szCs w:val="16"/>
              </w:rPr>
              <w:t xml:space="preserve">Koszty związany z zakupem licencji/ dostępu do narzędzi wsparcia zarządzania </w:t>
            </w:r>
            <w:r w:rsidR="00BC76CC" w:rsidRPr="00FE6D80">
              <w:rPr>
                <w:rFonts w:ascii="Times New Roman" w:hAnsi="Times New Roman" w:cs="Times New Roman"/>
                <w:sz w:val="16"/>
                <w:szCs w:val="16"/>
              </w:rPr>
              <w:t xml:space="preserve">dla zespołu merytorycznego, zespołu IT oraz zespołu zarządzania </w:t>
            </w:r>
            <w:r w:rsidR="00812031" w:rsidRPr="00FE6D80">
              <w:rPr>
                <w:rFonts w:ascii="Times New Roman" w:hAnsi="Times New Roman" w:cs="Times New Roman"/>
                <w:sz w:val="16"/>
                <w:szCs w:val="16"/>
              </w:rPr>
              <w:t>utrzymaniem</w:t>
            </w:r>
            <w:r w:rsidR="00BC76CC" w:rsidRPr="00FE6D80">
              <w:rPr>
                <w:rFonts w:ascii="Times New Roman" w:hAnsi="Times New Roman" w:cs="Times New Roman"/>
                <w:sz w:val="16"/>
                <w:szCs w:val="16"/>
              </w:rPr>
              <w:t>; ok.</w:t>
            </w:r>
            <w:r w:rsidR="004557F1">
              <w:rPr>
                <w:rFonts w:ascii="Times New Roman" w:hAnsi="Times New Roman" w:cs="Times New Roman"/>
                <w:sz w:val="16"/>
                <w:szCs w:val="16"/>
              </w:rPr>
              <w:t xml:space="preserve"> </w:t>
            </w:r>
            <w:r w:rsidR="00AC22DB" w:rsidRPr="00FE6D80">
              <w:rPr>
                <w:rFonts w:ascii="Times New Roman" w:hAnsi="Times New Roman" w:cs="Times New Roman"/>
                <w:sz w:val="16"/>
                <w:szCs w:val="16"/>
              </w:rPr>
              <w:t>1.</w:t>
            </w:r>
            <w:r w:rsidR="00715A65" w:rsidRPr="00FE6D80">
              <w:rPr>
                <w:rFonts w:ascii="Times New Roman" w:hAnsi="Times New Roman" w:cs="Times New Roman"/>
                <w:sz w:val="16"/>
                <w:szCs w:val="16"/>
              </w:rPr>
              <w:t>000</w:t>
            </w:r>
            <w:r w:rsidR="00AC22DB" w:rsidRPr="00FE6D80">
              <w:rPr>
                <w:rFonts w:ascii="Times New Roman" w:hAnsi="Times New Roman" w:cs="Times New Roman"/>
                <w:sz w:val="16"/>
                <w:szCs w:val="16"/>
              </w:rPr>
              <w:t>,00</w:t>
            </w:r>
            <w:r w:rsidR="00E95118" w:rsidRPr="00FE6D80">
              <w:rPr>
                <w:rFonts w:ascii="Times New Roman" w:hAnsi="Times New Roman" w:cs="Times New Roman"/>
                <w:sz w:val="16"/>
                <w:szCs w:val="16"/>
              </w:rPr>
              <w:t xml:space="preserve"> zł</w:t>
            </w:r>
            <w:r w:rsidR="00AC22DB" w:rsidRPr="00FE6D80">
              <w:rPr>
                <w:rFonts w:ascii="Times New Roman" w:hAnsi="Times New Roman" w:cs="Times New Roman"/>
                <w:sz w:val="16"/>
                <w:szCs w:val="16"/>
              </w:rPr>
              <w:t xml:space="preserve"> x licencja roczna x liczba użytkowników </w:t>
            </w:r>
            <w:r w:rsidR="0083621C" w:rsidRPr="00FE6D80">
              <w:rPr>
                <w:rFonts w:ascii="Times New Roman" w:hAnsi="Times New Roman" w:cs="Times New Roman"/>
                <w:sz w:val="16"/>
                <w:szCs w:val="16"/>
              </w:rPr>
              <w:t>(1 etat dzielony na kilku użytkowników)</w:t>
            </w:r>
            <w:r w:rsidR="004557F1">
              <w:rPr>
                <w:rFonts w:ascii="Times New Roman" w:hAnsi="Times New Roman" w:cs="Times New Roman"/>
                <w:sz w:val="16"/>
                <w:szCs w:val="16"/>
              </w:rPr>
              <w:t>.</w:t>
            </w:r>
          </w:p>
          <w:p w14:paraId="61F48AC3" w14:textId="0BEA95BD" w:rsidR="003D5762" w:rsidRPr="00FE6D80" w:rsidRDefault="0048105C" w:rsidP="004557F1">
            <w:pPr>
              <w:spacing w:before="120" w:after="120"/>
              <w:jc w:val="both"/>
              <w:rPr>
                <w:rFonts w:ascii="Times New Roman" w:hAnsi="Times New Roman" w:cs="Times New Roman"/>
                <w:sz w:val="16"/>
                <w:szCs w:val="16"/>
              </w:rPr>
            </w:pPr>
            <w:r w:rsidRPr="00FE6D80">
              <w:rPr>
                <w:rFonts w:ascii="Times New Roman" w:hAnsi="Times New Roman" w:cs="Times New Roman"/>
                <w:sz w:val="16"/>
                <w:szCs w:val="16"/>
              </w:rPr>
              <w:t xml:space="preserve">Poz. 4. </w:t>
            </w:r>
            <w:r w:rsidR="001E16BC" w:rsidRPr="00FE6D80">
              <w:rPr>
                <w:rFonts w:ascii="Times New Roman" w:hAnsi="Times New Roman" w:cs="Times New Roman"/>
                <w:sz w:val="16"/>
                <w:szCs w:val="16"/>
              </w:rPr>
              <w:t>Koszty związany z zakupem</w:t>
            </w:r>
            <w:r w:rsidR="002530AB" w:rsidRPr="00FE6D80">
              <w:rPr>
                <w:rFonts w:ascii="Times New Roman" w:hAnsi="Times New Roman" w:cs="Times New Roman"/>
                <w:sz w:val="16"/>
                <w:szCs w:val="16"/>
              </w:rPr>
              <w:t xml:space="preserve"> </w:t>
            </w:r>
            <w:r w:rsidR="00EE3242" w:rsidRPr="00FE6D80">
              <w:rPr>
                <w:rFonts w:ascii="Times New Roman" w:hAnsi="Times New Roman" w:cs="Times New Roman"/>
                <w:sz w:val="16"/>
                <w:szCs w:val="16"/>
              </w:rPr>
              <w:t xml:space="preserve">oprogramowania z zakresu </w:t>
            </w:r>
            <w:proofErr w:type="spellStart"/>
            <w:r w:rsidR="00EE3242" w:rsidRPr="00FE6D80">
              <w:rPr>
                <w:rFonts w:ascii="Times New Roman" w:hAnsi="Times New Roman" w:cs="Times New Roman"/>
                <w:sz w:val="16"/>
                <w:szCs w:val="16"/>
              </w:rPr>
              <w:t>cyberbezpieczeństwa</w:t>
            </w:r>
            <w:proofErr w:type="spellEnd"/>
            <w:r w:rsidR="005B5D23" w:rsidRPr="00FE6D80">
              <w:rPr>
                <w:rFonts w:ascii="Times New Roman" w:hAnsi="Times New Roman" w:cs="Times New Roman"/>
                <w:sz w:val="16"/>
                <w:szCs w:val="16"/>
              </w:rPr>
              <w:t xml:space="preserve"> - </w:t>
            </w:r>
            <w:r w:rsidR="00275F6C" w:rsidRPr="00FE6D80">
              <w:rPr>
                <w:rFonts w:ascii="Times New Roman" w:hAnsi="Times New Roman" w:cs="Times New Roman"/>
                <w:sz w:val="16"/>
                <w:szCs w:val="16"/>
              </w:rPr>
              <w:t xml:space="preserve">wsparcia </w:t>
            </w:r>
            <w:proofErr w:type="spellStart"/>
            <w:r w:rsidR="00275F6C" w:rsidRPr="00FE6D80">
              <w:rPr>
                <w:rFonts w:ascii="Times New Roman" w:hAnsi="Times New Roman" w:cs="Times New Roman"/>
                <w:sz w:val="16"/>
                <w:szCs w:val="16"/>
              </w:rPr>
              <w:t>cyberbezpieczeństwa</w:t>
            </w:r>
            <w:proofErr w:type="spellEnd"/>
            <w:r w:rsidR="00275F6C" w:rsidRPr="00FE6D80">
              <w:rPr>
                <w:rFonts w:ascii="Times New Roman" w:hAnsi="Times New Roman" w:cs="Times New Roman"/>
                <w:sz w:val="16"/>
                <w:szCs w:val="16"/>
              </w:rPr>
              <w:t xml:space="preserve"> w tym FW aplikacyjne niezbędne do prawidłowego funkcjonowania programów</w:t>
            </w:r>
            <w:r w:rsidR="004557F1">
              <w:rPr>
                <w:rFonts w:ascii="Times New Roman" w:hAnsi="Times New Roman" w:cs="Times New Roman"/>
                <w:sz w:val="16"/>
                <w:szCs w:val="16"/>
              </w:rPr>
              <w:t>,</w:t>
            </w:r>
            <w:r w:rsidR="00275F6C" w:rsidRPr="00FE6D80">
              <w:rPr>
                <w:rFonts w:ascii="Times New Roman" w:hAnsi="Times New Roman" w:cs="Times New Roman"/>
                <w:sz w:val="16"/>
                <w:szCs w:val="16"/>
              </w:rPr>
              <w:t xml:space="preserve"> jak również mające na celu zabezpieczenie programu i jego użytkowników przed zagrożeniami wynikającymi z cyberprzestępstw</w:t>
            </w:r>
            <w:r w:rsidR="005B5D23" w:rsidRPr="00FE6D80">
              <w:rPr>
                <w:rFonts w:ascii="Times New Roman" w:hAnsi="Times New Roman" w:cs="Times New Roman"/>
                <w:sz w:val="16"/>
                <w:szCs w:val="16"/>
              </w:rPr>
              <w:t>; ok. 10.000 zł x rok uwzględniając wzrost zakresu.</w:t>
            </w:r>
          </w:p>
          <w:p w14:paraId="1D2E3755" w14:textId="4CBF0C2B" w:rsidR="00812031" w:rsidRPr="00FE6D80" w:rsidRDefault="00D5081F" w:rsidP="004557F1">
            <w:pPr>
              <w:spacing w:before="120" w:after="120"/>
              <w:jc w:val="both"/>
              <w:rPr>
                <w:rFonts w:ascii="Times New Roman" w:hAnsi="Times New Roman" w:cs="Times New Roman"/>
                <w:sz w:val="16"/>
                <w:szCs w:val="16"/>
              </w:rPr>
            </w:pPr>
            <w:r w:rsidRPr="00FE6D80">
              <w:rPr>
                <w:rFonts w:ascii="Times New Roman" w:hAnsi="Times New Roman" w:cs="Times New Roman"/>
                <w:sz w:val="16"/>
                <w:szCs w:val="16"/>
              </w:rPr>
              <w:t>Poz. 5. Oprogramowanie do obsługi helpdesk</w:t>
            </w:r>
            <w:r w:rsidR="00BE3A27" w:rsidRPr="00FE6D80">
              <w:rPr>
                <w:rFonts w:ascii="Times New Roman" w:hAnsi="Times New Roman" w:cs="Times New Roman"/>
                <w:sz w:val="16"/>
                <w:szCs w:val="16"/>
              </w:rPr>
              <w:t>;</w:t>
            </w:r>
            <w:r w:rsidR="00FD1570" w:rsidRPr="00FE6D80">
              <w:rPr>
                <w:rFonts w:ascii="Times New Roman" w:hAnsi="Times New Roman" w:cs="Times New Roman"/>
                <w:sz w:val="16"/>
                <w:szCs w:val="16"/>
              </w:rPr>
              <w:t xml:space="preserve"> koszt uzależniony od liczby potencjalnych użytkowników.</w:t>
            </w:r>
          </w:p>
        </w:tc>
      </w:tr>
      <w:tr w:rsidR="00335979" w:rsidRPr="00B5006E" w14:paraId="0DDF5DCF" w14:textId="3004339B" w:rsidTr="00BB1B84">
        <w:tc>
          <w:tcPr>
            <w:tcW w:w="1425" w:type="dxa"/>
            <w:shd w:val="clear" w:color="auto" w:fill="D9D9D9" w:themeFill="background1" w:themeFillShade="D9"/>
            <w:vAlign w:val="center"/>
          </w:tcPr>
          <w:p w14:paraId="1271FE89" w14:textId="56C6B54C" w:rsidR="009A1121" w:rsidRPr="00694876" w:rsidRDefault="009A1121" w:rsidP="009A1121">
            <w:pPr>
              <w:jc w:val="both"/>
              <w:rPr>
                <w:rFonts w:ascii="Times New Roman" w:hAnsi="Times New Roman" w:cs="Times New Roman"/>
                <w:sz w:val="16"/>
                <w:szCs w:val="16"/>
              </w:rPr>
            </w:pPr>
            <w:r w:rsidRPr="00694876">
              <w:rPr>
                <w:rFonts w:ascii="Times New Roman" w:hAnsi="Times New Roman" w:cs="Times New Roman"/>
                <w:b/>
                <w:bCs/>
                <w:sz w:val="16"/>
                <w:szCs w:val="16"/>
              </w:rPr>
              <w:t>Przygotowanie projektu</w:t>
            </w:r>
          </w:p>
        </w:tc>
        <w:tc>
          <w:tcPr>
            <w:tcW w:w="1269" w:type="dxa"/>
            <w:shd w:val="clear" w:color="auto" w:fill="D9D9D9" w:themeFill="background1" w:themeFillShade="D9"/>
            <w:vAlign w:val="center"/>
          </w:tcPr>
          <w:p w14:paraId="3A3E94CD" w14:textId="4AC8768E" w:rsidR="009A1121" w:rsidRPr="00694876" w:rsidRDefault="009A1121" w:rsidP="009A1121">
            <w:pPr>
              <w:jc w:val="center"/>
              <w:rPr>
                <w:rFonts w:ascii="Times New Roman" w:hAnsi="Times New Roman" w:cs="Times New Roman"/>
                <w:sz w:val="16"/>
                <w:szCs w:val="16"/>
              </w:rPr>
            </w:pPr>
            <w:r w:rsidRPr="00694876">
              <w:rPr>
                <w:rFonts w:ascii="Times New Roman" w:hAnsi="Times New Roman" w:cs="Times New Roman"/>
                <w:b/>
                <w:bCs/>
                <w:sz w:val="16"/>
                <w:szCs w:val="16"/>
              </w:rPr>
              <w:t>0</w:t>
            </w:r>
            <w:r w:rsidR="00694876">
              <w:rPr>
                <w:rFonts w:ascii="Times New Roman" w:hAnsi="Times New Roman" w:cs="Times New Roman"/>
                <w:b/>
                <w:bCs/>
                <w:sz w:val="16"/>
                <w:szCs w:val="16"/>
              </w:rPr>
              <w:t>,00</w:t>
            </w:r>
          </w:p>
        </w:tc>
        <w:tc>
          <w:tcPr>
            <w:tcW w:w="7796" w:type="dxa"/>
            <w:shd w:val="clear" w:color="auto" w:fill="D9D9D9" w:themeFill="background1" w:themeFillShade="D9"/>
          </w:tcPr>
          <w:p w14:paraId="2C3C8F4F" w14:textId="2210D9AC" w:rsidR="009A1121" w:rsidRPr="00B5006E" w:rsidRDefault="001727D2" w:rsidP="009A1121">
            <w:pPr>
              <w:jc w:val="both"/>
              <w:rPr>
                <w:rFonts w:ascii="Times New Roman" w:hAnsi="Times New Roman" w:cs="Times New Roman"/>
                <w:sz w:val="16"/>
                <w:szCs w:val="16"/>
              </w:rPr>
            </w:pPr>
            <w:r w:rsidRPr="00B5006E">
              <w:rPr>
                <w:rFonts w:ascii="Times New Roman" w:hAnsi="Times New Roman" w:cs="Times New Roman"/>
                <w:sz w:val="16"/>
                <w:szCs w:val="16"/>
              </w:rPr>
              <w:t xml:space="preserve">W okresie utrzymania </w:t>
            </w:r>
            <w:r w:rsidR="003A4BB9" w:rsidRPr="00B5006E">
              <w:rPr>
                <w:rFonts w:ascii="Times New Roman" w:hAnsi="Times New Roman" w:cs="Times New Roman"/>
                <w:sz w:val="16"/>
                <w:szCs w:val="16"/>
              </w:rPr>
              <w:t xml:space="preserve">trwałości </w:t>
            </w:r>
            <w:r w:rsidRPr="00B5006E">
              <w:rPr>
                <w:rFonts w:ascii="Times New Roman" w:hAnsi="Times New Roman" w:cs="Times New Roman"/>
                <w:sz w:val="16"/>
                <w:szCs w:val="16"/>
              </w:rPr>
              <w:t xml:space="preserve">projektu nie przewiduje się ponoszenia wydatków na działania związane z przygotowaniem </w:t>
            </w:r>
            <w:r w:rsidR="00717717" w:rsidRPr="00B5006E">
              <w:rPr>
                <w:rFonts w:ascii="Times New Roman" w:hAnsi="Times New Roman" w:cs="Times New Roman"/>
                <w:sz w:val="16"/>
                <w:szCs w:val="16"/>
              </w:rPr>
              <w:t>projektu</w:t>
            </w:r>
          </w:p>
        </w:tc>
      </w:tr>
      <w:tr w:rsidR="00335979" w:rsidRPr="00B5006E" w14:paraId="44B7BF70" w14:textId="2BCA734F" w:rsidTr="00694876">
        <w:tc>
          <w:tcPr>
            <w:tcW w:w="1425" w:type="dxa"/>
            <w:shd w:val="clear" w:color="auto" w:fill="D9D9D9" w:themeFill="background1" w:themeFillShade="D9"/>
            <w:vAlign w:val="center"/>
          </w:tcPr>
          <w:p w14:paraId="4D1E7FCD" w14:textId="20260019" w:rsidR="009A1121" w:rsidRPr="00694876" w:rsidRDefault="009A1121" w:rsidP="009A1121">
            <w:pPr>
              <w:jc w:val="both"/>
              <w:rPr>
                <w:rFonts w:ascii="Times New Roman" w:hAnsi="Times New Roman" w:cs="Times New Roman"/>
                <w:sz w:val="16"/>
                <w:szCs w:val="16"/>
              </w:rPr>
            </w:pPr>
            <w:r w:rsidRPr="00694876">
              <w:rPr>
                <w:rFonts w:ascii="Times New Roman" w:hAnsi="Times New Roman" w:cs="Times New Roman"/>
                <w:b/>
                <w:bCs/>
                <w:sz w:val="16"/>
                <w:szCs w:val="16"/>
              </w:rPr>
              <w:t>Roboty budowlane</w:t>
            </w:r>
          </w:p>
        </w:tc>
        <w:tc>
          <w:tcPr>
            <w:tcW w:w="1269" w:type="dxa"/>
            <w:shd w:val="clear" w:color="auto" w:fill="D9D9D9" w:themeFill="background1" w:themeFillShade="D9"/>
            <w:vAlign w:val="center"/>
          </w:tcPr>
          <w:p w14:paraId="2619BEC1" w14:textId="162347F6" w:rsidR="009A1121" w:rsidRPr="00694876" w:rsidRDefault="009A1121" w:rsidP="009A1121">
            <w:pPr>
              <w:jc w:val="center"/>
              <w:rPr>
                <w:rFonts w:ascii="Times New Roman" w:hAnsi="Times New Roman" w:cs="Times New Roman"/>
                <w:sz w:val="16"/>
                <w:szCs w:val="16"/>
              </w:rPr>
            </w:pPr>
            <w:r w:rsidRPr="00694876">
              <w:rPr>
                <w:rFonts w:ascii="Times New Roman" w:hAnsi="Times New Roman" w:cs="Times New Roman"/>
                <w:b/>
                <w:bCs/>
                <w:sz w:val="16"/>
                <w:szCs w:val="16"/>
              </w:rPr>
              <w:t>0</w:t>
            </w:r>
            <w:r w:rsidR="00694876">
              <w:rPr>
                <w:rFonts w:ascii="Times New Roman" w:hAnsi="Times New Roman" w:cs="Times New Roman"/>
                <w:b/>
                <w:bCs/>
                <w:sz w:val="16"/>
                <w:szCs w:val="16"/>
              </w:rPr>
              <w:t>,00</w:t>
            </w:r>
          </w:p>
        </w:tc>
        <w:tc>
          <w:tcPr>
            <w:tcW w:w="7796" w:type="dxa"/>
            <w:shd w:val="clear" w:color="auto" w:fill="D9D9D9" w:themeFill="background1" w:themeFillShade="D9"/>
          </w:tcPr>
          <w:p w14:paraId="10B6566C" w14:textId="6F343929" w:rsidR="009A1121" w:rsidRPr="00B5006E" w:rsidRDefault="001727D2" w:rsidP="009A1121">
            <w:pPr>
              <w:jc w:val="both"/>
              <w:rPr>
                <w:rFonts w:ascii="Times New Roman" w:hAnsi="Times New Roman" w:cs="Times New Roman"/>
                <w:sz w:val="16"/>
                <w:szCs w:val="16"/>
              </w:rPr>
            </w:pPr>
            <w:r w:rsidRPr="00B5006E">
              <w:rPr>
                <w:rFonts w:ascii="Times New Roman" w:hAnsi="Times New Roman" w:cs="Times New Roman"/>
                <w:sz w:val="16"/>
                <w:szCs w:val="16"/>
              </w:rPr>
              <w:t xml:space="preserve">W okresie utrzymania </w:t>
            </w:r>
            <w:r w:rsidR="003A4BB9" w:rsidRPr="00B5006E">
              <w:rPr>
                <w:rFonts w:ascii="Times New Roman" w:hAnsi="Times New Roman" w:cs="Times New Roman"/>
                <w:sz w:val="16"/>
                <w:szCs w:val="16"/>
              </w:rPr>
              <w:t xml:space="preserve">trwałości </w:t>
            </w:r>
            <w:r w:rsidRPr="00B5006E">
              <w:rPr>
                <w:rFonts w:ascii="Times New Roman" w:hAnsi="Times New Roman" w:cs="Times New Roman"/>
                <w:sz w:val="16"/>
                <w:szCs w:val="16"/>
              </w:rPr>
              <w:t xml:space="preserve">projektu nie przewiduje się ponoszenia wydatków na </w:t>
            </w:r>
            <w:r w:rsidR="00717717" w:rsidRPr="00B5006E">
              <w:rPr>
                <w:rFonts w:ascii="Times New Roman" w:hAnsi="Times New Roman" w:cs="Times New Roman"/>
                <w:sz w:val="16"/>
                <w:szCs w:val="16"/>
              </w:rPr>
              <w:t>roboty budowlane</w:t>
            </w:r>
          </w:p>
        </w:tc>
      </w:tr>
      <w:tr w:rsidR="00335979" w:rsidRPr="00B5006E" w14:paraId="286E8581" w14:textId="041CE7AD" w:rsidTr="00694876">
        <w:tc>
          <w:tcPr>
            <w:tcW w:w="1425" w:type="dxa"/>
            <w:shd w:val="clear" w:color="auto" w:fill="D9D9D9" w:themeFill="background1" w:themeFillShade="D9"/>
            <w:vAlign w:val="center"/>
          </w:tcPr>
          <w:p w14:paraId="583816E9" w14:textId="6CDE909A" w:rsidR="009A1121" w:rsidRPr="00694876" w:rsidRDefault="009A1121" w:rsidP="009A1121">
            <w:pPr>
              <w:jc w:val="both"/>
              <w:rPr>
                <w:rFonts w:ascii="Times New Roman" w:hAnsi="Times New Roman" w:cs="Times New Roman"/>
                <w:sz w:val="16"/>
                <w:szCs w:val="16"/>
              </w:rPr>
            </w:pPr>
            <w:r w:rsidRPr="00694876">
              <w:rPr>
                <w:rFonts w:ascii="Times New Roman" w:hAnsi="Times New Roman" w:cs="Times New Roman"/>
                <w:b/>
                <w:bCs/>
                <w:sz w:val="16"/>
                <w:szCs w:val="16"/>
              </w:rPr>
              <w:t>Sprzęt informatyczny</w:t>
            </w:r>
          </w:p>
        </w:tc>
        <w:tc>
          <w:tcPr>
            <w:tcW w:w="1269" w:type="dxa"/>
            <w:shd w:val="clear" w:color="auto" w:fill="D9D9D9" w:themeFill="background1" w:themeFillShade="D9"/>
            <w:vAlign w:val="center"/>
          </w:tcPr>
          <w:p w14:paraId="7AD3BFB5" w14:textId="4CDCDC6A" w:rsidR="009A1121" w:rsidRPr="00694876" w:rsidRDefault="00211E2B" w:rsidP="009A1121">
            <w:pPr>
              <w:jc w:val="center"/>
              <w:rPr>
                <w:rFonts w:ascii="Times New Roman" w:hAnsi="Times New Roman" w:cs="Times New Roman"/>
                <w:sz w:val="16"/>
                <w:szCs w:val="16"/>
              </w:rPr>
            </w:pPr>
            <w:r w:rsidRPr="00694876">
              <w:rPr>
                <w:rFonts w:ascii="Times New Roman" w:hAnsi="Times New Roman" w:cs="Times New Roman"/>
                <w:b/>
                <w:bCs/>
                <w:sz w:val="16"/>
                <w:szCs w:val="16"/>
              </w:rPr>
              <w:t>1</w:t>
            </w:r>
            <w:r w:rsidR="00273EF0">
              <w:rPr>
                <w:rFonts w:ascii="Times New Roman" w:hAnsi="Times New Roman" w:cs="Times New Roman"/>
                <w:b/>
                <w:bCs/>
                <w:sz w:val="16"/>
                <w:szCs w:val="16"/>
              </w:rPr>
              <w:t>.</w:t>
            </w:r>
            <w:r w:rsidRPr="00694876">
              <w:rPr>
                <w:rFonts w:ascii="Times New Roman" w:hAnsi="Times New Roman" w:cs="Times New Roman"/>
                <w:b/>
                <w:bCs/>
                <w:sz w:val="16"/>
                <w:szCs w:val="16"/>
              </w:rPr>
              <w:t>290</w:t>
            </w:r>
            <w:r w:rsidR="00273EF0">
              <w:rPr>
                <w:rFonts w:ascii="Times New Roman" w:hAnsi="Times New Roman" w:cs="Times New Roman"/>
                <w:b/>
                <w:bCs/>
                <w:sz w:val="16"/>
                <w:szCs w:val="16"/>
              </w:rPr>
              <w:t>.</w:t>
            </w:r>
            <w:r w:rsidRPr="00694876">
              <w:rPr>
                <w:rFonts w:ascii="Times New Roman" w:hAnsi="Times New Roman" w:cs="Times New Roman"/>
                <w:b/>
                <w:bCs/>
                <w:sz w:val="16"/>
                <w:szCs w:val="16"/>
              </w:rPr>
              <w:t>000,00</w:t>
            </w:r>
          </w:p>
        </w:tc>
        <w:tc>
          <w:tcPr>
            <w:tcW w:w="7796" w:type="dxa"/>
            <w:shd w:val="clear" w:color="auto" w:fill="auto"/>
          </w:tcPr>
          <w:p w14:paraId="72E1AAE2" w14:textId="25B89830" w:rsidR="004F41EB" w:rsidRPr="00B5006E" w:rsidRDefault="00C70ADD" w:rsidP="004557F1">
            <w:pPr>
              <w:spacing w:before="120" w:after="120"/>
              <w:jc w:val="both"/>
              <w:rPr>
                <w:rFonts w:ascii="Times New Roman" w:hAnsi="Times New Roman" w:cs="Times New Roman"/>
                <w:sz w:val="16"/>
                <w:szCs w:val="16"/>
              </w:rPr>
            </w:pPr>
            <w:r w:rsidRPr="00B5006E">
              <w:rPr>
                <w:rFonts w:ascii="Times New Roman" w:hAnsi="Times New Roman" w:cs="Times New Roman"/>
                <w:sz w:val="16"/>
                <w:szCs w:val="16"/>
              </w:rPr>
              <w:t xml:space="preserve">W okresie utrzymania </w:t>
            </w:r>
            <w:r w:rsidR="003A4BB9" w:rsidRPr="00B5006E">
              <w:rPr>
                <w:rFonts w:ascii="Times New Roman" w:hAnsi="Times New Roman" w:cs="Times New Roman"/>
                <w:sz w:val="16"/>
                <w:szCs w:val="16"/>
              </w:rPr>
              <w:t xml:space="preserve">trwałości </w:t>
            </w:r>
            <w:r w:rsidRPr="00B5006E">
              <w:rPr>
                <w:rFonts w:ascii="Times New Roman" w:hAnsi="Times New Roman" w:cs="Times New Roman"/>
                <w:sz w:val="16"/>
                <w:szCs w:val="16"/>
              </w:rPr>
              <w:t xml:space="preserve">projektu przewiduje się ponoszenie wydatków na zakup </w:t>
            </w:r>
            <w:r w:rsidR="00D0161C" w:rsidRPr="00B5006E">
              <w:rPr>
                <w:rFonts w:ascii="Times New Roman" w:hAnsi="Times New Roman" w:cs="Times New Roman"/>
                <w:sz w:val="16"/>
                <w:szCs w:val="16"/>
              </w:rPr>
              <w:t>podstawowego sprzętu informatycznego</w:t>
            </w:r>
            <w:r w:rsidRPr="00B5006E">
              <w:rPr>
                <w:rFonts w:ascii="Times New Roman" w:hAnsi="Times New Roman" w:cs="Times New Roman"/>
                <w:sz w:val="16"/>
                <w:szCs w:val="16"/>
              </w:rPr>
              <w:t xml:space="preserve"> </w:t>
            </w:r>
            <w:r w:rsidR="00D0161C" w:rsidRPr="00B5006E">
              <w:rPr>
                <w:rFonts w:ascii="Times New Roman" w:hAnsi="Times New Roman" w:cs="Times New Roman"/>
                <w:sz w:val="16"/>
                <w:szCs w:val="16"/>
              </w:rPr>
              <w:t>obejmującego m.in</w:t>
            </w:r>
            <w:r w:rsidR="00C95674" w:rsidRPr="00B5006E">
              <w:rPr>
                <w:rFonts w:ascii="Times New Roman" w:hAnsi="Times New Roman" w:cs="Times New Roman"/>
                <w:sz w:val="16"/>
                <w:szCs w:val="16"/>
              </w:rPr>
              <w:t xml:space="preserve"> wymianę zużytych </w:t>
            </w:r>
            <w:r w:rsidR="00F11B04" w:rsidRPr="00B5006E">
              <w:rPr>
                <w:rFonts w:ascii="Times New Roman" w:hAnsi="Times New Roman" w:cs="Times New Roman"/>
                <w:sz w:val="16"/>
                <w:szCs w:val="16"/>
              </w:rPr>
              <w:t>urządzeń ADSB</w:t>
            </w:r>
            <w:r w:rsidR="00E619D7" w:rsidRPr="00B5006E">
              <w:rPr>
                <w:rFonts w:ascii="Times New Roman" w:hAnsi="Times New Roman" w:cs="Times New Roman"/>
                <w:sz w:val="16"/>
                <w:szCs w:val="16"/>
              </w:rPr>
              <w:t xml:space="preserve"> oraz </w:t>
            </w:r>
            <w:proofErr w:type="spellStart"/>
            <w:r w:rsidR="00E619D7" w:rsidRPr="00B5006E">
              <w:rPr>
                <w:rFonts w:ascii="Times New Roman" w:hAnsi="Times New Roman" w:cs="Times New Roman"/>
                <w:sz w:val="16"/>
                <w:szCs w:val="16"/>
              </w:rPr>
              <w:t>trackingowych</w:t>
            </w:r>
            <w:proofErr w:type="spellEnd"/>
            <w:r w:rsidR="00ED3952">
              <w:rPr>
                <w:rFonts w:ascii="Times New Roman" w:hAnsi="Times New Roman" w:cs="Times New Roman"/>
                <w:sz w:val="16"/>
                <w:szCs w:val="16"/>
              </w:rPr>
              <w:t>,</w:t>
            </w:r>
            <w:r w:rsidR="00206497" w:rsidRPr="00B5006E">
              <w:rPr>
                <w:rFonts w:ascii="Times New Roman" w:hAnsi="Times New Roman" w:cs="Times New Roman"/>
                <w:sz w:val="16"/>
                <w:szCs w:val="16"/>
              </w:rPr>
              <w:t xml:space="preserve"> </w:t>
            </w:r>
            <w:r w:rsidR="00211E2B" w:rsidRPr="00B5006E">
              <w:rPr>
                <w:rFonts w:ascii="Times New Roman" w:hAnsi="Times New Roman" w:cs="Times New Roman"/>
                <w:sz w:val="16"/>
                <w:szCs w:val="16"/>
              </w:rPr>
              <w:t>zakup</w:t>
            </w:r>
            <w:r w:rsidR="00206497" w:rsidRPr="00B5006E">
              <w:rPr>
                <w:rFonts w:ascii="Times New Roman" w:hAnsi="Times New Roman" w:cs="Times New Roman"/>
                <w:sz w:val="16"/>
                <w:szCs w:val="16"/>
              </w:rPr>
              <w:t xml:space="preserve"> BSP niezbędn</w:t>
            </w:r>
            <w:r w:rsidR="00A82C10" w:rsidRPr="00B5006E">
              <w:rPr>
                <w:rFonts w:ascii="Times New Roman" w:hAnsi="Times New Roman" w:cs="Times New Roman"/>
                <w:sz w:val="16"/>
                <w:szCs w:val="16"/>
              </w:rPr>
              <w:t>ych</w:t>
            </w:r>
            <w:r w:rsidR="00206497" w:rsidRPr="00B5006E">
              <w:rPr>
                <w:rFonts w:ascii="Times New Roman" w:hAnsi="Times New Roman" w:cs="Times New Roman"/>
                <w:sz w:val="16"/>
                <w:szCs w:val="16"/>
              </w:rPr>
              <w:t xml:space="preserve"> do realizacji bieżących usług związanych z monitoringiem działania systemu oraz do weryfikacji poprawności działania poszczególnych funkcjonalności systemów i usług.</w:t>
            </w:r>
            <w:r w:rsidR="00600307" w:rsidRPr="00B5006E">
              <w:rPr>
                <w:rFonts w:ascii="Times New Roman" w:hAnsi="Times New Roman" w:cs="Times New Roman"/>
                <w:sz w:val="16"/>
                <w:szCs w:val="16"/>
              </w:rPr>
              <w:t xml:space="preserve"> </w:t>
            </w:r>
            <w:r w:rsidR="00B32BED" w:rsidRPr="00B5006E">
              <w:rPr>
                <w:rFonts w:ascii="Times New Roman" w:hAnsi="Times New Roman" w:cs="Times New Roman"/>
                <w:sz w:val="16"/>
                <w:szCs w:val="16"/>
              </w:rPr>
              <w:t xml:space="preserve">Średniorocznie </w:t>
            </w:r>
            <w:r w:rsidR="00736127" w:rsidRPr="00B5006E">
              <w:rPr>
                <w:rFonts w:ascii="Times New Roman" w:hAnsi="Times New Roman" w:cs="Times New Roman"/>
                <w:sz w:val="16"/>
                <w:szCs w:val="16"/>
              </w:rPr>
              <w:t>zaplanowano</w:t>
            </w:r>
            <w:r w:rsidR="009E34C4" w:rsidRPr="00B5006E">
              <w:rPr>
                <w:rFonts w:ascii="Times New Roman" w:hAnsi="Times New Roman" w:cs="Times New Roman"/>
                <w:sz w:val="16"/>
                <w:szCs w:val="16"/>
              </w:rPr>
              <w:t xml:space="preserve"> ok. </w:t>
            </w:r>
            <w:r w:rsidR="00A82C10" w:rsidRPr="00B5006E">
              <w:rPr>
                <w:rFonts w:ascii="Times New Roman" w:hAnsi="Times New Roman" w:cs="Times New Roman"/>
                <w:sz w:val="16"/>
                <w:szCs w:val="16"/>
              </w:rPr>
              <w:t>250</w:t>
            </w:r>
            <w:r w:rsidR="004557F1">
              <w:rPr>
                <w:rFonts w:ascii="Times New Roman" w:hAnsi="Times New Roman" w:cs="Times New Roman"/>
                <w:sz w:val="16"/>
                <w:szCs w:val="16"/>
              </w:rPr>
              <w:t xml:space="preserve"> tys. zł</w:t>
            </w:r>
            <w:r w:rsidR="006A21F2" w:rsidRPr="00B5006E">
              <w:rPr>
                <w:rFonts w:ascii="Times New Roman" w:hAnsi="Times New Roman" w:cs="Times New Roman"/>
                <w:sz w:val="16"/>
                <w:szCs w:val="16"/>
              </w:rPr>
              <w:t>, przy czym uwzględniając rosnący popyt na usługi</w:t>
            </w:r>
            <w:r w:rsidR="00E619D7" w:rsidRPr="00B5006E">
              <w:rPr>
                <w:rFonts w:ascii="Times New Roman" w:hAnsi="Times New Roman" w:cs="Times New Roman"/>
                <w:sz w:val="16"/>
                <w:szCs w:val="16"/>
              </w:rPr>
              <w:t xml:space="preserve"> </w:t>
            </w:r>
            <w:r w:rsidR="006A21F2" w:rsidRPr="00B5006E">
              <w:rPr>
                <w:rFonts w:ascii="Times New Roman" w:hAnsi="Times New Roman" w:cs="Times New Roman"/>
                <w:sz w:val="16"/>
                <w:szCs w:val="16"/>
              </w:rPr>
              <w:t xml:space="preserve">przewiduje się, że w </w:t>
            </w:r>
            <w:r w:rsidR="00214B07" w:rsidRPr="00B5006E">
              <w:rPr>
                <w:rFonts w:ascii="Times New Roman" w:hAnsi="Times New Roman" w:cs="Times New Roman"/>
                <w:sz w:val="16"/>
                <w:szCs w:val="16"/>
              </w:rPr>
              <w:t xml:space="preserve">3., </w:t>
            </w:r>
            <w:r w:rsidR="006A21F2" w:rsidRPr="00B5006E">
              <w:rPr>
                <w:rFonts w:ascii="Times New Roman" w:hAnsi="Times New Roman" w:cs="Times New Roman"/>
                <w:sz w:val="16"/>
                <w:szCs w:val="16"/>
              </w:rPr>
              <w:t>4. i 5</w:t>
            </w:r>
            <w:r w:rsidR="003A4BB9" w:rsidRPr="00B5006E">
              <w:rPr>
                <w:rFonts w:ascii="Times New Roman" w:hAnsi="Times New Roman" w:cs="Times New Roman"/>
                <w:sz w:val="16"/>
                <w:szCs w:val="16"/>
              </w:rPr>
              <w:t>. roku okresu utrzymania trwałości</w:t>
            </w:r>
            <w:r w:rsidR="006A21F2" w:rsidRPr="00B5006E">
              <w:rPr>
                <w:rFonts w:ascii="Times New Roman" w:hAnsi="Times New Roman" w:cs="Times New Roman"/>
                <w:sz w:val="16"/>
                <w:szCs w:val="16"/>
              </w:rPr>
              <w:t xml:space="preserve"> projektu niezbędne będzie </w:t>
            </w:r>
            <w:r w:rsidR="00CE6329" w:rsidRPr="00B5006E">
              <w:rPr>
                <w:rFonts w:ascii="Times New Roman" w:hAnsi="Times New Roman" w:cs="Times New Roman"/>
                <w:sz w:val="16"/>
                <w:szCs w:val="16"/>
              </w:rPr>
              <w:t xml:space="preserve">zwiększenie kosztów wymiany </w:t>
            </w:r>
            <w:r w:rsidR="006F6DD9" w:rsidRPr="00B5006E">
              <w:rPr>
                <w:rFonts w:ascii="Times New Roman" w:hAnsi="Times New Roman" w:cs="Times New Roman"/>
                <w:sz w:val="16"/>
                <w:szCs w:val="16"/>
              </w:rPr>
              <w:t xml:space="preserve">i rozbudowy </w:t>
            </w:r>
            <w:r w:rsidR="00CE6329" w:rsidRPr="00B5006E">
              <w:rPr>
                <w:rFonts w:ascii="Times New Roman" w:hAnsi="Times New Roman" w:cs="Times New Roman"/>
                <w:sz w:val="16"/>
                <w:szCs w:val="16"/>
              </w:rPr>
              <w:t>urządzeń</w:t>
            </w:r>
            <w:r w:rsidR="006F6DD9" w:rsidRPr="00B5006E">
              <w:rPr>
                <w:rFonts w:ascii="Times New Roman" w:hAnsi="Times New Roman" w:cs="Times New Roman"/>
                <w:sz w:val="16"/>
                <w:szCs w:val="16"/>
              </w:rPr>
              <w:t>.</w:t>
            </w:r>
          </w:p>
          <w:tbl>
            <w:tblPr>
              <w:tblStyle w:val="Tabela-Siatka"/>
              <w:tblW w:w="7563" w:type="dxa"/>
              <w:tblLayout w:type="fixed"/>
              <w:tblLook w:val="04A0" w:firstRow="1" w:lastRow="0" w:firstColumn="1" w:lastColumn="0" w:noHBand="0" w:noVBand="1"/>
            </w:tblPr>
            <w:tblGrid>
              <w:gridCol w:w="310"/>
              <w:gridCol w:w="992"/>
              <w:gridCol w:w="1276"/>
              <w:gridCol w:w="1276"/>
              <w:gridCol w:w="1275"/>
              <w:gridCol w:w="1300"/>
              <w:gridCol w:w="1134"/>
            </w:tblGrid>
            <w:tr w:rsidR="00226E67" w:rsidRPr="00B5006E" w14:paraId="49D1A177" w14:textId="77777777" w:rsidTr="00993263">
              <w:tc>
                <w:tcPr>
                  <w:tcW w:w="310" w:type="dxa"/>
                  <w:shd w:val="clear" w:color="auto" w:fill="DBDBDB" w:themeFill="accent3" w:themeFillTint="66"/>
                </w:tcPr>
                <w:p w14:paraId="08FD0B7A" w14:textId="77777777" w:rsidR="00226E67" w:rsidRPr="00B5006E" w:rsidRDefault="00226E67" w:rsidP="00DF4C37">
                  <w:pPr>
                    <w:jc w:val="both"/>
                    <w:rPr>
                      <w:rFonts w:ascii="Times New Roman" w:hAnsi="Times New Roman" w:cs="Times New Roman"/>
                      <w:b/>
                      <w:bCs/>
                      <w:sz w:val="16"/>
                      <w:szCs w:val="16"/>
                    </w:rPr>
                  </w:pPr>
                </w:p>
              </w:tc>
              <w:tc>
                <w:tcPr>
                  <w:tcW w:w="992" w:type="dxa"/>
                  <w:shd w:val="clear" w:color="auto" w:fill="DBDBDB" w:themeFill="accent3" w:themeFillTint="66"/>
                  <w:vAlign w:val="center"/>
                </w:tcPr>
                <w:p w14:paraId="60F2C023" w14:textId="08BB0009" w:rsidR="00226E67" w:rsidRPr="00B5006E" w:rsidRDefault="00226E67" w:rsidP="00AA6FE3">
                  <w:pPr>
                    <w:jc w:val="center"/>
                    <w:rPr>
                      <w:rFonts w:ascii="Times New Roman" w:hAnsi="Times New Roman" w:cs="Times New Roman"/>
                      <w:b/>
                      <w:bCs/>
                      <w:sz w:val="16"/>
                      <w:szCs w:val="16"/>
                    </w:rPr>
                  </w:pPr>
                  <w:r w:rsidRPr="00B5006E">
                    <w:rPr>
                      <w:rFonts w:ascii="Times New Roman" w:hAnsi="Times New Roman" w:cs="Times New Roman"/>
                      <w:b/>
                      <w:bCs/>
                      <w:sz w:val="16"/>
                      <w:szCs w:val="16"/>
                    </w:rPr>
                    <w:t>2024 r.</w:t>
                  </w:r>
                </w:p>
              </w:tc>
              <w:tc>
                <w:tcPr>
                  <w:tcW w:w="1276" w:type="dxa"/>
                  <w:shd w:val="clear" w:color="auto" w:fill="DBDBDB" w:themeFill="accent3" w:themeFillTint="66"/>
                  <w:vAlign w:val="center"/>
                </w:tcPr>
                <w:p w14:paraId="7FA27A71" w14:textId="3C56972F" w:rsidR="00226E67" w:rsidRPr="00B5006E" w:rsidRDefault="00226E67" w:rsidP="00AA6FE3">
                  <w:pPr>
                    <w:jc w:val="center"/>
                    <w:rPr>
                      <w:rFonts w:ascii="Times New Roman" w:hAnsi="Times New Roman" w:cs="Times New Roman"/>
                      <w:sz w:val="16"/>
                      <w:szCs w:val="16"/>
                    </w:rPr>
                  </w:pPr>
                  <w:r w:rsidRPr="00B5006E">
                    <w:rPr>
                      <w:rFonts w:ascii="Times New Roman" w:hAnsi="Times New Roman" w:cs="Times New Roman"/>
                      <w:b/>
                      <w:bCs/>
                      <w:sz w:val="16"/>
                      <w:szCs w:val="16"/>
                    </w:rPr>
                    <w:t>2025 r.</w:t>
                  </w:r>
                </w:p>
              </w:tc>
              <w:tc>
                <w:tcPr>
                  <w:tcW w:w="1276" w:type="dxa"/>
                  <w:shd w:val="clear" w:color="auto" w:fill="DBDBDB" w:themeFill="accent3" w:themeFillTint="66"/>
                  <w:vAlign w:val="center"/>
                </w:tcPr>
                <w:p w14:paraId="17404561" w14:textId="77777777" w:rsidR="00226E67" w:rsidRPr="00B5006E" w:rsidRDefault="00226E67" w:rsidP="00AA6FE3">
                  <w:pPr>
                    <w:jc w:val="center"/>
                    <w:rPr>
                      <w:rFonts w:ascii="Times New Roman" w:hAnsi="Times New Roman" w:cs="Times New Roman"/>
                      <w:sz w:val="16"/>
                      <w:szCs w:val="16"/>
                    </w:rPr>
                  </w:pPr>
                  <w:r w:rsidRPr="00B5006E">
                    <w:rPr>
                      <w:rFonts w:ascii="Times New Roman" w:hAnsi="Times New Roman" w:cs="Times New Roman"/>
                      <w:b/>
                      <w:bCs/>
                      <w:sz w:val="16"/>
                      <w:szCs w:val="16"/>
                    </w:rPr>
                    <w:t>2026 r.</w:t>
                  </w:r>
                </w:p>
              </w:tc>
              <w:tc>
                <w:tcPr>
                  <w:tcW w:w="1275" w:type="dxa"/>
                  <w:shd w:val="clear" w:color="auto" w:fill="DBDBDB" w:themeFill="accent3" w:themeFillTint="66"/>
                  <w:vAlign w:val="center"/>
                </w:tcPr>
                <w:p w14:paraId="17B24553" w14:textId="77777777" w:rsidR="00226E67" w:rsidRPr="00B5006E" w:rsidRDefault="00226E67" w:rsidP="00AA6FE3">
                  <w:pPr>
                    <w:jc w:val="center"/>
                    <w:rPr>
                      <w:rFonts w:ascii="Times New Roman" w:hAnsi="Times New Roman" w:cs="Times New Roman"/>
                      <w:sz w:val="16"/>
                      <w:szCs w:val="16"/>
                    </w:rPr>
                  </w:pPr>
                  <w:r w:rsidRPr="00B5006E">
                    <w:rPr>
                      <w:rFonts w:ascii="Times New Roman" w:hAnsi="Times New Roman" w:cs="Times New Roman"/>
                      <w:b/>
                      <w:bCs/>
                      <w:sz w:val="16"/>
                      <w:szCs w:val="16"/>
                    </w:rPr>
                    <w:t>2027 r.</w:t>
                  </w:r>
                </w:p>
              </w:tc>
              <w:tc>
                <w:tcPr>
                  <w:tcW w:w="1300" w:type="dxa"/>
                  <w:shd w:val="clear" w:color="auto" w:fill="DBDBDB" w:themeFill="accent3" w:themeFillTint="66"/>
                  <w:vAlign w:val="center"/>
                </w:tcPr>
                <w:p w14:paraId="2D1A45A3" w14:textId="77777777" w:rsidR="00226E67" w:rsidRPr="00B5006E" w:rsidRDefault="00226E67" w:rsidP="00AA6FE3">
                  <w:pPr>
                    <w:jc w:val="center"/>
                    <w:rPr>
                      <w:rFonts w:ascii="Times New Roman" w:hAnsi="Times New Roman" w:cs="Times New Roman"/>
                      <w:sz w:val="16"/>
                      <w:szCs w:val="16"/>
                    </w:rPr>
                  </w:pPr>
                  <w:r w:rsidRPr="00B5006E">
                    <w:rPr>
                      <w:rFonts w:ascii="Times New Roman" w:hAnsi="Times New Roman" w:cs="Times New Roman"/>
                      <w:b/>
                      <w:bCs/>
                      <w:sz w:val="16"/>
                      <w:szCs w:val="16"/>
                    </w:rPr>
                    <w:t>2028 r.</w:t>
                  </w:r>
                </w:p>
              </w:tc>
              <w:tc>
                <w:tcPr>
                  <w:tcW w:w="1134" w:type="dxa"/>
                  <w:shd w:val="clear" w:color="auto" w:fill="A6A6A6" w:themeFill="background1" w:themeFillShade="A6"/>
                  <w:vAlign w:val="center"/>
                </w:tcPr>
                <w:p w14:paraId="63EE58CD" w14:textId="77777777" w:rsidR="00226E67" w:rsidRPr="00B5006E" w:rsidRDefault="00226E67" w:rsidP="00AA6FE3">
                  <w:pPr>
                    <w:jc w:val="center"/>
                    <w:rPr>
                      <w:rFonts w:ascii="Times New Roman" w:hAnsi="Times New Roman" w:cs="Times New Roman"/>
                      <w:sz w:val="16"/>
                      <w:szCs w:val="16"/>
                    </w:rPr>
                  </w:pPr>
                  <w:r w:rsidRPr="00B5006E">
                    <w:rPr>
                      <w:rFonts w:ascii="Times New Roman" w:hAnsi="Times New Roman" w:cs="Times New Roman"/>
                      <w:b/>
                      <w:bCs/>
                      <w:sz w:val="16"/>
                      <w:szCs w:val="16"/>
                    </w:rPr>
                    <w:t>2024-2028</w:t>
                  </w:r>
                </w:p>
              </w:tc>
            </w:tr>
            <w:tr w:rsidR="00226E67" w:rsidRPr="00B5006E" w14:paraId="23BAEF36" w14:textId="77777777" w:rsidTr="00993263">
              <w:tc>
                <w:tcPr>
                  <w:tcW w:w="310" w:type="dxa"/>
                </w:tcPr>
                <w:p w14:paraId="35BE425C" w14:textId="4F9A7447" w:rsidR="00226E67" w:rsidRPr="00B5006E" w:rsidRDefault="00226E67" w:rsidP="00DF4C37">
                  <w:pPr>
                    <w:jc w:val="right"/>
                    <w:rPr>
                      <w:rFonts w:ascii="Times New Roman" w:hAnsi="Times New Roman" w:cs="Times New Roman"/>
                      <w:sz w:val="16"/>
                      <w:szCs w:val="16"/>
                    </w:rPr>
                  </w:pPr>
                </w:p>
              </w:tc>
              <w:tc>
                <w:tcPr>
                  <w:tcW w:w="992" w:type="dxa"/>
                  <w:vAlign w:val="center"/>
                </w:tcPr>
                <w:p w14:paraId="38863B46" w14:textId="292A922B" w:rsidR="00226E67" w:rsidRPr="00A72544" w:rsidRDefault="00226E67" w:rsidP="00AA6FE3">
                  <w:pPr>
                    <w:jc w:val="center"/>
                    <w:rPr>
                      <w:rFonts w:ascii="Times New Roman" w:hAnsi="Times New Roman" w:cs="Times New Roman"/>
                      <w:b/>
                      <w:bCs/>
                      <w:sz w:val="16"/>
                      <w:szCs w:val="16"/>
                    </w:rPr>
                  </w:pPr>
                  <w:r w:rsidRPr="00A72544">
                    <w:rPr>
                      <w:rFonts w:ascii="Times New Roman" w:hAnsi="Times New Roman" w:cs="Times New Roman"/>
                      <w:b/>
                      <w:bCs/>
                      <w:sz w:val="16"/>
                      <w:szCs w:val="16"/>
                    </w:rPr>
                    <w:t>150</w:t>
                  </w:r>
                  <w:r w:rsidR="000849EE">
                    <w:rPr>
                      <w:rFonts w:ascii="Times New Roman" w:hAnsi="Times New Roman" w:cs="Times New Roman"/>
                      <w:b/>
                      <w:bCs/>
                      <w:sz w:val="16"/>
                      <w:szCs w:val="16"/>
                    </w:rPr>
                    <w:t>.</w:t>
                  </w:r>
                  <w:r w:rsidRPr="00A72544">
                    <w:rPr>
                      <w:rFonts w:ascii="Times New Roman" w:hAnsi="Times New Roman" w:cs="Times New Roman"/>
                      <w:b/>
                      <w:bCs/>
                      <w:sz w:val="16"/>
                      <w:szCs w:val="16"/>
                    </w:rPr>
                    <w:t>000,00</w:t>
                  </w:r>
                </w:p>
              </w:tc>
              <w:tc>
                <w:tcPr>
                  <w:tcW w:w="1276" w:type="dxa"/>
                  <w:vAlign w:val="center"/>
                </w:tcPr>
                <w:p w14:paraId="5B2505E6" w14:textId="1FE553C9" w:rsidR="00226E67" w:rsidRPr="00A72544" w:rsidRDefault="00226E67" w:rsidP="00AA6FE3">
                  <w:pPr>
                    <w:jc w:val="center"/>
                    <w:rPr>
                      <w:rFonts w:ascii="Times New Roman" w:hAnsi="Times New Roman" w:cs="Times New Roman"/>
                      <w:b/>
                      <w:bCs/>
                      <w:sz w:val="16"/>
                      <w:szCs w:val="16"/>
                    </w:rPr>
                  </w:pPr>
                  <w:r w:rsidRPr="00A72544">
                    <w:rPr>
                      <w:rFonts w:ascii="Times New Roman" w:hAnsi="Times New Roman" w:cs="Times New Roman"/>
                      <w:b/>
                      <w:bCs/>
                      <w:sz w:val="16"/>
                      <w:szCs w:val="16"/>
                    </w:rPr>
                    <w:t>250</w:t>
                  </w:r>
                  <w:r w:rsidR="000849EE">
                    <w:rPr>
                      <w:rFonts w:ascii="Times New Roman" w:hAnsi="Times New Roman" w:cs="Times New Roman"/>
                      <w:b/>
                      <w:bCs/>
                      <w:sz w:val="16"/>
                      <w:szCs w:val="16"/>
                    </w:rPr>
                    <w:t>.</w:t>
                  </w:r>
                  <w:r w:rsidRPr="00A72544">
                    <w:rPr>
                      <w:rFonts w:ascii="Times New Roman" w:hAnsi="Times New Roman" w:cs="Times New Roman"/>
                      <w:b/>
                      <w:bCs/>
                      <w:sz w:val="16"/>
                      <w:szCs w:val="16"/>
                    </w:rPr>
                    <w:t>000,00</w:t>
                  </w:r>
                </w:p>
              </w:tc>
              <w:tc>
                <w:tcPr>
                  <w:tcW w:w="1276" w:type="dxa"/>
                  <w:vAlign w:val="center"/>
                </w:tcPr>
                <w:p w14:paraId="36603DD2" w14:textId="04B0281A" w:rsidR="00226E67" w:rsidRPr="00A72544" w:rsidRDefault="00226E67" w:rsidP="00AA6FE3">
                  <w:pPr>
                    <w:jc w:val="center"/>
                    <w:rPr>
                      <w:rFonts w:ascii="Times New Roman" w:hAnsi="Times New Roman" w:cs="Times New Roman"/>
                      <w:b/>
                      <w:bCs/>
                      <w:sz w:val="16"/>
                      <w:szCs w:val="16"/>
                    </w:rPr>
                  </w:pPr>
                  <w:r w:rsidRPr="00A72544">
                    <w:rPr>
                      <w:rFonts w:ascii="Times New Roman" w:hAnsi="Times New Roman" w:cs="Times New Roman"/>
                      <w:b/>
                      <w:bCs/>
                      <w:sz w:val="16"/>
                      <w:szCs w:val="16"/>
                    </w:rPr>
                    <w:t>250</w:t>
                  </w:r>
                  <w:r w:rsidR="00E554A7">
                    <w:rPr>
                      <w:rFonts w:ascii="Times New Roman" w:hAnsi="Times New Roman" w:cs="Times New Roman"/>
                      <w:b/>
                      <w:bCs/>
                      <w:sz w:val="16"/>
                      <w:szCs w:val="16"/>
                    </w:rPr>
                    <w:t>.</w:t>
                  </w:r>
                  <w:r w:rsidRPr="00A72544">
                    <w:rPr>
                      <w:rFonts w:ascii="Times New Roman" w:hAnsi="Times New Roman" w:cs="Times New Roman"/>
                      <w:b/>
                      <w:bCs/>
                      <w:sz w:val="16"/>
                      <w:szCs w:val="16"/>
                    </w:rPr>
                    <w:t>000,00</w:t>
                  </w:r>
                </w:p>
              </w:tc>
              <w:tc>
                <w:tcPr>
                  <w:tcW w:w="1275" w:type="dxa"/>
                  <w:vAlign w:val="center"/>
                </w:tcPr>
                <w:p w14:paraId="25305F08" w14:textId="7ABE6DFB" w:rsidR="00226E67" w:rsidRPr="00A72544" w:rsidRDefault="00226E67" w:rsidP="00AA6FE3">
                  <w:pPr>
                    <w:jc w:val="center"/>
                    <w:rPr>
                      <w:rFonts w:ascii="Times New Roman" w:hAnsi="Times New Roman" w:cs="Times New Roman"/>
                      <w:b/>
                      <w:bCs/>
                      <w:sz w:val="16"/>
                      <w:szCs w:val="16"/>
                    </w:rPr>
                  </w:pPr>
                  <w:r w:rsidRPr="00A72544">
                    <w:rPr>
                      <w:rFonts w:ascii="Times New Roman" w:hAnsi="Times New Roman" w:cs="Times New Roman"/>
                      <w:b/>
                      <w:bCs/>
                      <w:sz w:val="16"/>
                      <w:szCs w:val="16"/>
                    </w:rPr>
                    <w:t>370</w:t>
                  </w:r>
                  <w:r w:rsidR="00E554A7">
                    <w:rPr>
                      <w:rFonts w:ascii="Times New Roman" w:hAnsi="Times New Roman" w:cs="Times New Roman"/>
                      <w:b/>
                      <w:bCs/>
                      <w:sz w:val="16"/>
                      <w:szCs w:val="16"/>
                    </w:rPr>
                    <w:t>.</w:t>
                  </w:r>
                  <w:r w:rsidRPr="00A72544">
                    <w:rPr>
                      <w:rFonts w:ascii="Times New Roman" w:hAnsi="Times New Roman" w:cs="Times New Roman"/>
                      <w:b/>
                      <w:bCs/>
                      <w:sz w:val="16"/>
                      <w:szCs w:val="16"/>
                    </w:rPr>
                    <w:t>000,00</w:t>
                  </w:r>
                </w:p>
              </w:tc>
              <w:tc>
                <w:tcPr>
                  <w:tcW w:w="1300" w:type="dxa"/>
                  <w:vAlign w:val="center"/>
                </w:tcPr>
                <w:p w14:paraId="4BBA8328" w14:textId="44E96109" w:rsidR="00226E67" w:rsidRPr="00A72544" w:rsidRDefault="00226E67" w:rsidP="00AA6FE3">
                  <w:pPr>
                    <w:jc w:val="center"/>
                    <w:rPr>
                      <w:rFonts w:ascii="Times New Roman" w:hAnsi="Times New Roman" w:cs="Times New Roman"/>
                      <w:b/>
                      <w:bCs/>
                      <w:sz w:val="16"/>
                      <w:szCs w:val="16"/>
                    </w:rPr>
                  </w:pPr>
                  <w:r w:rsidRPr="00A72544">
                    <w:rPr>
                      <w:rFonts w:ascii="Times New Roman" w:hAnsi="Times New Roman" w:cs="Times New Roman"/>
                      <w:b/>
                      <w:bCs/>
                      <w:sz w:val="16"/>
                      <w:szCs w:val="16"/>
                    </w:rPr>
                    <w:t>270</w:t>
                  </w:r>
                  <w:r w:rsidR="00E554A7">
                    <w:rPr>
                      <w:rFonts w:ascii="Times New Roman" w:hAnsi="Times New Roman" w:cs="Times New Roman"/>
                      <w:b/>
                      <w:bCs/>
                      <w:sz w:val="16"/>
                      <w:szCs w:val="16"/>
                    </w:rPr>
                    <w:t>.</w:t>
                  </w:r>
                  <w:r w:rsidRPr="00A72544">
                    <w:rPr>
                      <w:rFonts w:ascii="Times New Roman" w:hAnsi="Times New Roman" w:cs="Times New Roman"/>
                      <w:b/>
                      <w:bCs/>
                      <w:sz w:val="16"/>
                      <w:szCs w:val="16"/>
                    </w:rPr>
                    <w:t>000,00</w:t>
                  </w:r>
                </w:p>
              </w:tc>
              <w:tc>
                <w:tcPr>
                  <w:tcW w:w="1134" w:type="dxa"/>
                  <w:shd w:val="clear" w:color="auto" w:fill="A6A6A6" w:themeFill="background1" w:themeFillShade="A6"/>
                  <w:vAlign w:val="center"/>
                </w:tcPr>
                <w:p w14:paraId="4D4679C9" w14:textId="4F756D6B" w:rsidR="00226E67" w:rsidRPr="00B5006E" w:rsidRDefault="00226E67" w:rsidP="00AA6FE3">
                  <w:pPr>
                    <w:jc w:val="center"/>
                    <w:rPr>
                      <w:rFonts w:ascii="Times New Roman" w:hAnsi="Times New Roman" w:cs="Times New Roman"/>
                      <w:sz w:val="16"/>
                      <w:szCs w:val="16"/>
                    </w:rPr>
                  </w:pPr>
                  <w:r w:rsidRPr="00B5006E">
                    <w:rPr>
                      <w:rFonts w:ascii="Times New Roman" w:hAnsi="Times New Roman" w:cs="Times New Roman"/>
                      <w:b/>
                      <w:bCs/>
                      <w:sz w:val="16"/>
                      <w:szCs w:val="16"/>
                    </w:rPr>
                    <w:t>1</w:t>
                  </w:r>
                  <w:r w:rsidR="00E554A7">
                    <w:rPr>
                      <w:rFonts w:ascii="Times New Roman" w:hAnsi="Times New Roman" w:cs="Times New Roman"/>
                      <w:b/>
                      <w:bCs/>
                      <w:sz w:val="16"/>
                      <w:szCs w:val="16"/>
                    </w:rPr>
                    <w:t>.</w:t>
                  </w:r>
                  <w:r w:rsidRPr="00B5006E">
                    <w:rPr>
                      <w:rFonts w:ascii="Times New Roman" w:hAnsi="Times New Roman" w:cs="Times New Roman"/>
                      <w:b/>
                      <w:bCs/>
                      <w:sz w:val="16"/>
                      <w:szCs w:val="16"/>
                    </w:rPr>
                    <w:t>290</w:t>
                  </w:r>
                  <w:r w:rsidR="00E554A7">
                    <w:rPr>
                      <w:rFonts w:ascii="Times New Roman" w:hAnsi="Times New Roman" w:cs="Times New Roman"/>
                      <w:b/>
                      <w:bCs/>
                      <w:sz w:val="16"/>
                      <w:szCs w:val="16"/>
                    </w:rPr>
                    <w:t>.</w:t>
                  </w:r>
                  <w:r w:rsidRPr="00B5006E">
                    <w:rPr>
                      <w:rFonts w:ascii="Times New Roman" w:hAnsi="Times New Roman" w:cs="Times New Roman"/>
                      <w:b/>
                      <w:bCs/>
                      <w:sz w:val="16"/>
                      <w:szCs w:val="16"/>
                    </w:rPr>
                    <w:t>000,00</w:t>
                  </w:r>
                </w:p>
              </w:tc>
            </w:tr>
            <w:tr w:rsidR="001E7AF1" w:rsidRPr="001E7AF1" w14:paraId="42686B05" w14:textId="77777777" w:rsidTr="00E94A0D">
              <w:trPr>
                <w:trHeight w:val="142"/>
              </w:trPr>
              <w:tc>
                <w:tcPr>
                  <w:tcW w:w="310" w:type="dxa"/>
                  <w:shd w:val="clear" w:color="auto" w:fill="auto"/>
                </w:tcPr>
                <w:p w14:paraId="0FC54E64" w14:textId="0221E12B" w:rsidR="00226E67" w:rsidRPr="001E7AF1" w:rsidRDefault="00993263" w:rsidP="00E94A0D">
                  <w:pPr>
                    <w:jc w:val="right"/>
                    <w:rPr>
                      <w:rFonts w:ascii="Times New Roman" w:hAnsi="Times New Roman" w:cs="Times New Roman"/>
                      <w:sz w:val="16"/>
                      <w:szCs w:val="16"/>
                    </w:rPr>
                  </w:pPr>
                  <w:r w:rsidRPr="001E7AF1">
                    <w:rPr>
                      <w:rFonts w:ascii="Times New Roman" w:hAnsi="Times New Roman" w:cs="Times New Roman"/>
                      <w:sz w:val="16"/>
                      <w:szCs w:val="16"/>
                    </w:rPr>
                    <w:t>1</w:t>
                  </w:r>
                </w:p>
              </w:tc>
              <w:tc>
                <w:tcPr>
                  <w:tcW w:w="992" w:type="dxa"/>
                  <w:shd w:val="clear" w:color="auto" w:fill="auto"/>
                </w:tcPr>
                <w:p w14:paraId="67DCA8D7" w14:textId="7A5CF9D9" w:rsidR="00226E67" w:rsidRPr="001E7AF1" w:rsidRDefault="00226E67" w:rsidP="00E94A0D">
                  <w:pPr>
                    <w:jc w:val="center"/>
                    <w:rPr>
                      <w:rFonts w:ascii="Times New Roman" w:hAnsi="Times New Roman" w:cs="Times New Roman"/>
                      <w:sz w:val="16"/>
                      <w:szCs w:val="16"/>
                    </w:rPr>
                  </w:pPr>
                  <w:r w:rsidRPr="001E7AF1">
                    <w:rPr>
                      <w:rFonts w:ascii="Times New Roman" w:hAnsi="Times New Roman" w:cs="Times New Roman"/>
                      <w:sz w:val="16"/>
                      <w:szCs w:val="16"/>
                    </w:rPr>
                    <w:t>100</w:t>
                  </w:r>
                  <w:r w:rsidR="000849EE">
                    <w:rPr>
                      <w:rFonts w:ascii="Times New Roman" w:hAnsi="Times New Roman" w:cs="Times New Roman"/>
                      <w:sz w:val="16"/>
                      <w:szCs w:val="16"/>
                    </w:rPr>
                    <w:t>.</w:t>
                  </w:r>
                  <w:r w:rsidRPr="001E7AF1">
                    <w:rPr>
                      <w:rFonts w:ascii="Times New Roman" w:hAnsi="Times New Roman" w:cs="Times New Roman"/>
                      <w:sz w:val="16"/>
                      <w:szCs w:val="16"/>
                    </w:rPr>
                    <w:t>000,00</w:t>
                  </w:r>
                </w:p>
              </w:tc>
              <w:tc>
                <w:tcPr>
                  <w:tcW w:w="1276" w:type="dxa"/>
                  <w:shd w:val="clear" w:color="auto" w:fill="auto"/>
                </w:tcPr>
                <w:p w14:paraId="68C6BD11" w14:textId="3EC46C5C" w:rsidR="00226E67" w:rsidRPr="001E7AF1" w:rsidRDefault="00226E67" w:rsidP="00E94A0D">
                  <w:pPr>
                    <w:jc w:val="center"/>
                    <w:rPr>
                      <w:rFonts w:ascii="Times New Roman" w:hAnsi="Times New Roman" w:cs="Times New Roman"/>
                      <w:sz w:val="16"/>
                      <w:szCs w:val="16"/>
                    </w:rPr>
                  </w:pPr>
                  <w:r w:rsidRPr="001E7AF1">
                    <w:rPr>
                      <w:rFonts w:ascii="Times New Roman" w:hAnsi="Times New Roman" w:cs="Times New Roman"/>
                      <w:sz w:val="16"/>
                      <w:szCs w:val="16"/>
                    </w:rPr>
                    <w:t>200</w:t>
                  </w:r>
                  <w:r w:rsidR="00E554A7">
                    <w:rPr>
                      <w:rFonts w:ascii="Times New Roman" w:hAnsi="Times New Roman" w:cs="Times New Roman"/>
                      <w:sz w:val="16"/>
                      <w:szCs w:val="16"/>
                    </w:rPr>
                    <w:t>.</w:t>
                  </w:r>
                  <w:r w:rsidRPr="001E7AF1">
                    <w:rPr>
                      <w:rFonts w:ascii="Times New Roman" w:hAnsi="Times New Roman" w:cs="Times New Roman"/>
                      <w:sz w:val="16"/>
                      <w:szCs w:val="16"/>
                    </w:rPr>
                    <w:t>000,00</w:t>
                  </w:r>
                </w:p>
              </w:tc>
              <w:tc>
                <w:tcPr>
                  <w:tcW w:w="1276" w:type="dxa"/>
                  <w:shd w:val="clear" w:color="auto" w:fill="auto"/>
                </w:tcPr>
                <w:p w14:paraId="2B502425" w14:textId="7C3CA49B" w:rsidR="00226E67" w:rsidRPr="001E7AF1" w:rsidRDefault="00226E67" w:rsidP="00E94A0D">
                  <w:pPr>
                    <w:jc w:val="center"/>
                    <w:rPr>
                      <w:rFonts w:ascii="Times New Roman" w:hAnsi="Times New Roman" w:cs="Times New Roman"/>
                      <w:sz w:val="16"/>
                      <w:szCs w:val="16"/>
                    </w:rPr>
                  </w:pPr>
                  <w:r w:rsidRPr="001E7AF1">
                    <w:rPr>
                      <w:rFonts w:ascii="Times New Roman" w:hAnsi="Times New Roman" w:cs="Times New Roman"/>
                      <w:sz w:val="16"/>
                      <w:szCs w:val="16"/>
                    </w:rPr>
                    <w:t>120</w:t>
                  </w:r>
                  <w:r w:rsidR="00E554A7">
                    <w:rPr>
                      <w:rFonts w:ascii="Times New Roman" w:hAnsi="Times New Roman" w:cs="Times New Roman"/>
                      <w:sz w:val="16"/>
                      <w:szCs w:val="16"/>
                    </w:rPr>
                    <w:t>.</w:t>
                  </w:r>
                  <w:r w:rsidRPr="001E7AF1">
                    <w:rPr>
                      <w:rFonts w:ascii="Times New Roman" w:hAnsi="Times New Roman" w:cs="Times New Roman"/>
                      <w:sz w:val="16"/>
                      <w:szCs w:val="16"/>
                    </w:rPr>
                    <w:t>000,00</w:t>
                  </w:r>
                </w:p>
              </w:tc>
              <w:tc>
                <w:tcPr>
                  <w:tcW w:w="1275" w:type="dxa"/>
                  <w:shd w:val="clear" w:color="auto" w:fill="auto"/>
                </w:tcPr>
                <w:p w14:paraId="3C8779A8" w14:textId="47AF9263" w:rsidR="00226E67" w:rsidRPr="001E7AF1" w:rsidRDefault="00226E67" w:rsidP="00E94A0D">
                  <w:pPr>
                    <w:jc w:val="center"/>
                    <w:rPr>
                      <w:rFonts w:ascii="Times New Roman" w:hAnsi="Times New Roman" w:cs="Times New Roman"/>
                      <w:sz w:val="16"/>
                      <w:szCs w:val="16"/>
                    </w:rPr>
                  </w:pPr>
                  <w:r w:rsidRPr="001E7AF1">
                    <w:rPr>
                      <w:rFonts w:ascii="Times New Roman" w:hAnsi="Times New Roman" w:cs="Times New Roman"/>
                      <w:sz w:val="16"/>
                      <w:szCs w:val="16"/>
                    </w:rPr>
                    <w:t>240</w:t>
                  </w:r>
                  <w:r w:rsidR="00E554A7">
                    <w:rPr>
                      <w:rFonts w:ascii="Times New Roman" w:hAnsi="Times New Roman" w:cs="Times New Roman"/>
                      <w:sz w:val="16"/>
                      <w:szCs w:val="16"/>
                    </w:rPr>
                    <w:t>.</w:t>
                  </w:r>
                  <w:r w:rsidRPr="001E7AF1">
                    <w:rPr>
                      <w:rFonts w:ascii="Times New Roman" w:hAnsi="Times New Roman" w:cs="Times New Roman"/>
                      <w:sz w:val="16"/>
                      <w:szCs w:val="16"/>
                    </w:rPr>
                    <w:t>000,00</w:t>
                  </w:r>
                </w:p>
              </w:tc>
              <w:tc>
                <w:tcPr>
                  <w:tcW w:w="1300" w:type="dxa"/>
                  <w:shd w:val="clear" w:color="auto" w:fill="auto"/>
                </w:tcPr>
                <w:p w14:paraId="3452F02F" w14:textId="0A5E0134" w:rsidR="00226E67" w:rsidRPr="001E7AF1" w:rsidRDefault="00226E67" w:rsidP="00E94A0D">
                  <w:pPr>
                    <w:jc w:val="center"/>
                    <w:rPr>
                      <w:rFonts w:ascii="Times New Roman" w:hAnsi="Times New Roman" w:cs="Times New Roman"/>
                      <w:sz w:val="16"/>
                      <w:szCs w:val="16"/>
                    </w:rPr>
                  </w:pPr>
                  <w:r w:rsidRPr="001E7AF1">
                    <w:rPr>
                      <w:rFonts w:ascii="Times New Roman" w:hAnsi="Times New Roman" w:cs="Times New Roman"/>
                      <w:sz w:val="16"/>
                      <w:szCs w:val="16"/>
                    </w:rPr>
                    <w:t>140</w:t>
                  </w:r>
                  <w:r w:rsidR="00E554A7">
                    <w:rPr>
                      <w:rFonts w:ascii="Times New Roman" w:hAnsi="Times New Roman" w:cs="Times New Roman"/>
                      <w:sz w:val="16"/>
                      <w:szCs w:val="16"/>
                    </w:rPr>
                    <w:t>.</w:t>
                  </w:r>
                  <w:r w:rsidRPr="001E7AF1">
                    <w:rPr>
                      <w:rFonts w:ascii="Times New Roman" w:hAnsi="Times New Roman" w:cs="Times New Roman"/>
                      <w:sz w:val="16"/>
                      <w:szCs w:val="16"/>
                    </w:rPr>
                    <w:t>000,00</w:t>
                  </w:r>
                </w:p>
              </w:tc>
              <w:tc>
                <w:tcPr>
                  <w:tcW w:w="1134" w:type="dxa"/>
                  <w:shd w:val="clear" w:color="auto" w:fill="auto"/>
                </w:tcPr>
                <w:p w14:paraId="6CD4FFDB" w14:textId="27BDD132" w:rsidR="00226E67" w:rsidRPr="001E7AF1" w:rsidRDefault="00226E67" w:rsidP="00E94A0D">
                  <w:pPr>
                    <w:jc w:val="center"/>
                    <w:rPr>
                      <w:rFonts w:ascii="Times New Roman" w:hAnsi="Times New Roman" w:cs="Times New Roman"/>
                      <w:sz w:val="16"/>
                      <w:szCs w:val="16"/>
                    </w:rPr>
                  </w:pPr>
                  <w:r w:rsidRPr="001E7AF1">
                    <w:rPr>
                      <w:rFonts w:ascii="Times New Roman" w:hAnsi="Times New Roman" w:cs="Times New Roman"/>
                      <w:sz w:val="16"/>
                      <w:szCs w:val="16"/>
                    </w:rPr>
                    <w:t>800</w:t>
                  </w:r>
                  <w:r w:rsidR="00E554A7">
                    <w:rPr>
                      <w:rFonts w:ascii="Times New Roman" w:hAnsi="Times New Roman" w:cs="Times New Roman"/>
                      <w:sz w:val="16"/>
                      <w:szCs w:val="16"/>
                    </w:rPr>
                    <w:t>.</w:t>
                  </w:r>
                  <w:r w:rsidRPr="001E7AF1">
                    <w:rPr>
                      <w:rFonts w:ascii="Times New Roman" w:hAnsi="Times New Roman" w:cs="Times New Roman"/>
                      <w:sz w:val="16"/>
                      <w:szCs w:val="16"/>
                    </w:rPr>
                    <w:t>000,00</w:t>
                  </w:r>
                </w:p>
              </w:tc>
            </w:tr>
            <w:tr w:rsidR="001E7AF1" w:rsidRPr="001E7AF1" w14:paraId="0228DE8F" w14:textId="77777777" w:rsidTr="00993263">
              <w:tc>
                <w:tcPr>
                  <w:tcW w:w="310" w:type="dxa"/>
                </w:tcPr>
                <w:p w14:paraId="6B3E65D2" w14:textId="68C7D4E8" w:rsidR="00226E67" w:rsidRPr="001E7AF1" w:rsidRDefault="00993263" w:rsidP="00E94A0D">
                  <w:pPr>
                    <w:jc w:val="right"/>
                    <w:rPr>
                      <w:rFonts w:ascii="Times New Roman" w:hAnsi="Times New Roman" w:cs="Times New Roman"/>
                      <w:sz w:val="16"/>
                      <w:szCs w:val="16"/>
                    </w:rPr>
                  </w:pPr>
                  <w:r w:rsidRPr="001E7AF1">
                    <w:rPr>
                      <w:rFonts w:ascii="Times New Roman" w:hAnsi="Times New Roman" w:cs="Times New Roman"/>
                      <w:sz w:val="16"/>
                      <w:szCs w:val="16"/>
                    </w:rPr>
                    <w:t>2</w:t>
                  </w:r>
                </w:p>
              </w:tc>
              <w:tc>
                <w:tcPr>
                  <w:tcW w:w="992" w:type="dxa"/>
                </w:tcPr>
                <w:p w14:paraId="7D46268F" w14:textId="3B3830DC" w:rsidR="00226E67" w:rsidRPr="001E7AF1" w:rsidRDefault="00226E67" w:rsidP="00E94A0D">
                  <w:pPr>
                    <w:jc w:val="center"/>
                    <w:rPr>
                      <w:rFonts w:ascii="Times New Roman" w:hAnsi="Times New Roman" w:cs="Times New Roman"/>
                      <w:sz w:val="16"/>
                      <w:szCs w:val="16"/>
                    </w:rPr>
                  </w:pPr>
                  <w:r w:rsidRPr="001E7AF1">
                    <w:rPr>
                      <w:rFonts w:ascii="Times New Roman" w:hAnsi="Times New Roman" w:cs="Times New Roman"/>
                      <w:sz w:val="16"/>
                      <w:szCs w:val="16"/>
                    </w:rPr>
                    <w:t>50</w:t>
                  </w:r>
                  <w:r w:rsidR="000849EE">
                    <w:rPr>
                      <w:rFonts w:ascii="Times New Roman" w:hAnsi="Times New Roman" w:cs="Times New Roman"/>
                      <w:sz w:val="16"/>
                      <w:szCs w:val="16"/>
                    </w:rPr>
                    <w:t>.</w:t>
                  </w:r>
                  <w:r w:rsidRPr="001E7AF1">
                    <w:rPr>
                      <w:rFonts w:ascii="Times New Roman" w:hAnsi="Times New Roman" w:cs="Times New Roman"/>
                      <w:sz w:val="16"/>
                      <w:szCs w:val="16"/>
                    </w:rPr>
                    <w:t>000,00</w:t>
                  </w:r>
                </w:p>
              </w:tc>
              <w:tc>
                <w:tcPr>
                  <w:tcW w:w="1276" w:type="dxa"/>
                </w:tcPr>
                <w:p w14:paraId="04CA4B11" w14:textId="12CD02BB" w:rsidR="00226E67" w:rsidRPr="001E7AF1" w:rsidRDefault="00226E67" w:rsidP="00E94A0D">
                  <w:pPr>
                    <w:jc w:val="center"/>
                    <w:rPr>
                      <w:rFonts w:ascii="Times New Roman" w:hAnsi="Times New Roman" w:cs="Times New Roman"/>
                      <w:sz w:val="16"/>
                      <w:szCs w:val="16"/>
                    </w:rPr>
                  </w:pPr>
                  <w:r w:rsidRPr="001E7AF1">
                    <w:rPr>
                      <w:rFonts w:ascii="Times New Roman" w:hAnsi="Times New Roman" w:cs="Times New Roman"/>
                      <w:sz w:val="16"/>
                      <w:szCs w:val="16"/>
                    </w:rPr>
                    <w:t>50</w:t>
                  </w:r>
                  <w:r w:rsidR="000849EE">
                    <w:rPr>
                      <w:rFonts w:ascii="Times New Roman" w:hAnsi="Times New Roman" w:cs="Times New Roman"/>
                      <w:sz w:val="16"/>
                      <w:szCs w:val="16"/>
                    </w:rPr>
                    <w:t>.</w:t>
                  </w:r>
                  <w:r w:rsidRPr="001E7AF1">
                    <w:rPr>
                      <w:rFonts w:ascii="Times New Roman" w:hAnsi="Times New Roman" w:cs="Times New Roman"/>
                      <w:sz w:val="16"/>
                      <w:szCs w:val="16"/>
                    </w:rPr>
                    <w:t>000,00</w:t>
                  </w:r>
                </w:p>
              </w:tc>
              <w:tc>
                <w:tcPr>
                  <w:tcW w:w="1276" w:type="dxa"/>
                </w:tcPr>
                <w:p w14:paraId="5FAE8AF0" w14:textId="49F3279A" w:rsidR="00226E67" w:rsidRPr="001E7AF1" w:rsidRDefault="00226E67" w:rsidP="00E94A0D">
                  <w:pPr>
                    <w:jc w:val="center"/>
                    <w:rPr>
                      <w:rFonts w:ascii="Times New Roman" w:hAnsi="Times New Roman" w:cs="Times New Roman"/>
                      <w:sz w:val="16"/>
                      <w:szCs w:val="16"/>
                    </w:rPr>
                  </w:pPr>
                  <w:r w:rsidRPr="001E7AF1">
                    <w:rPr>
                      <w:rFonts w:ascii="Times New Roman" w:hAnsi="Times New Roman" w:cs="Times New Roman"/>
                      <w:sz w:val="16"/>
                      <w:szCs w:val="16"/>
                    </w:rPr>
                    <w:t>130</w:t>
                  </w:r>
                  <w:r w:rsidR="00E554A7">
                    <w:rPr>
                      <w:rFonts w:ascii="Times New Roman" w:hAnsi="Times New Roman" w:cs="Times New Roman"/>
                      <w:sz w:val="16"/>
                      <w:szCs w:val="16"/>
                    </w:rPr>
                    <w:t>.</w:t>
                  </w:r>
                  <w:r w:rsidRPr="001E7AF1">
                    <w:rPr>
                      <w:rFonts w:ascii="Times New Roman" w:hAnsi="Times New Roman" w:cs="Times New Roman"/>
                      <w:sz w:val="16"/>
                      <w:szCs w:val="16"/>
                    </w:rPr>
                    <w:t>000,00</w:t>
                  </w:r>
                </w:p>
              </w:tc>
              <w:tc>
                <w:tcPr>
                  <w:tcW w:w="1275" w:type="dxa"/>
                </w:tcPr>
                <w:p w14:paraId="46150921" w14:textId="641D396C" w:rsidR="00226E67" w:rsidRPr="001E7AF1" w:rsidRDefault="00226E67" w:rsidP="00E94A0D">
                  <w:pPr>
                    <w:jc w:val="center"/>
                    <w:rPr>
                      <w:rFonts w:ascii="Times New Roman" w:hAnsi="Times New Roman" w:cs="Times New Roman"/>
                      <w:sz w:val="16"/>
                      <w:szCs w:val="16"/>
                    </w:rPr>
                  </w:pPr>
                  <w:r w:rsidRPr="001E7AF1">
                    <w:rPr>
                      <w:rFonts w:ascii="Times New Roman" w:hAnsi="Times New Roman" w:cs="Times New Roman"/>
                      <w:sz w:val="16"/>
                      <w:szCs w:val="16"/>
                    </w:rPr>
                    <w:t>130</w:t>
                  </w:r>
                  <w:r w:rsidR="00E554A7">
                    <w:rPr>
                      <w:rFonts w:ascii="Times New Roman" w:hAnsi="Times New Roman" w:cs="Times New Roman"/>
                      <w:sz w:val="16"/>
                      <w:szCs w:val="16"/>
                    </w:rPr>
                    <w:t>.</w:t>
                  </w:r>
                  <w:r w:rsidRPr="001E7AF1">
                    <w:rPr>
                      <w:rFonts w:ascii="Times New Roman" w:hAnsi="Times New Roman" w:cs="Times New Roman"/>
                      <w:sz w:val="16"/>
                      <w:szCs w:val="16"/>
                    </w:rPr>
                    <w:t>000,00</w:t>
                  </w:r>
                </w:p>
              </w:tc>
              <w:tc>
                <w:tcPr>
                  <w:tcW w:w="1300" w:type="dxa"/>
                </w:tcPr>
                <w:p w14:paraId="300C1F11" w14:textId="7C068D65" w:rsidR="00226E67" w:rsidRPr="001E7AF1" w:rsidRDefault="00226E67" w:rsidP="00E94A0D">
                  <w:pPr>
                    <w:jc w:val="center"/>
                    <w:rPr>
                      <w:rFonts w:ascii="Times New Roman" w:hAnsi="Times New Roman" w:cs="Times New Roman"/>
                      <w:sz w:val="16"/>
                      <w:szCs w:val="16"/>
                    </w:rPr>
                  </w:pPr>
                  <w:r w:rsidRPr="001E7AF1">
                    <w:rPr>
                      <w:rFonts w:ascii="Times New Roman" w:hAnsi="Times New Roman" w:cs="Times New Roman"/>
                      <w:sz w:val="16"/>
                      <w:szCs w:val="16"/>
                    </w:rPr>
                    <w:t>130</w:t>
                  </w:r>
                  <w:r w:rsidR="00E554A7">
                    <w:rPr>
                      <w:rFonts w:ascii="Times New Roman" w:hAnsi="Times New Roman" w:cs="Times New Roman"/>
                      <w:sz w:val="16"/>
                      <w:szCs w:val="16"/>
                    </w:rPr>
                    <w:t>.</w:t>
                  </w:r>
                  <w:r w:rsidRPr="001E7AF1">
                    <w:rPr>
                      <w:rFonts w:ascii="Times New Roman" w:hAnsi="Times New Roman" w:cs="Times New Roman"/>
                      <w:sz w:val="16"/>
                      <w:szCs w:val="16"/>
                    </w:rPr>
                    <w:t>000,00</w:t>
                  </w:r>
                </w:p>
              </w:tc>
              <w:tc>
                <w:tcPr>
                  <w:tcW w:w="1134" w:type="dxa"/>
                </w:tcPr>
                <w:p w14:paraId="5C108E1D" w14:textId="375F2805" w:rsidR="00226E67" w:rsidRPr="001E7AF1" w:rsidRDefault="00226E67" w:rsidP="00E94A0D">
                  <w:pPr>
                    <w:jc w:val="center"/>
                    <w:rPr>
                      <w:rFonts w:ascii="Times New Roman" w:hAnsi="Times New Roman" w:cs="Times New Roman"/>
                      <w:sz w:val="16"/>
                      <w:szCs w:val="16"/>
                    </w:rPr>
                  </w:pPr>
                  <w:r w:rsidRPr="001E7AF1">
                    <w:rPr>
                      <w:rFonts w:ascii="Times New Roman" w:hAnsi="Times New Roman" w:cs="Times New Roman"/>
                      <w:sz w:val="16"/>
                      <w:szCs w:val="16"/>
                    </w:rPr>
                    <w:t>490</w:t>
                  </w:r>
                  <w:r w:rsidR="00E554A7">
                    <w:rPr>
                      <w:rFonts w:ascii="Times New Roman" w:hAnsi="Times New Roman" w:cs="Times New Roman"/>
                      <w:sz w:val="16"/>
                      <w:szCs w:val="16"/>
                    </w:rPr>
                    <w:t>.</w:t>
                  </w:r>
                  <w:r w:rsidRPr="001E7AF1">
                    <w:rPr>
                      <w:rFonts w:ascii="Times New Roman" w:hAnsi="Times New Roman" w:cs="Times New Roman"/>
                      <w:sz w:val="16"/>
                      <w:szCs w:val="16"/>
                    </w:rPr>
                    <w:t>000,00</w:t>
                  </w:r>
                </w:p>
              </w:tc>
            </w:tr>
          </w:tbl>
          <w:p w14:paraId="2F56D274" w14:textId="77777777" w:rsidR="00993263" w:rsidRPr="001E7AF1" w:rsidRDefault="00993263" w:rsidP="00E94A0D">
            <w:pPr>
              <w:jc w:val="both"/>
              <w:rPr>
                <w:rFonts w:ascii="Times New Roman" w:hAnsi="Times New Roman" w:cs="Times New Roman"/>
                <w:sz w:val="16"/>
                <w:szCs w:val="16"/>
              </w:rPr>
            </w:pPr>
          </w:p>
          <w:p w14:paraId="0F6B340F" w14:textId="17C28D9D" w:rsidR="004F41EB" w:rsidRPr="001E7AF1" w:rsidRDefault="00A90A65" w:rsidP="004557F1">
            <w:pPr>
              <w:spacing w:before="120" w:after="120"/>
              <w:jc w:val="both"/>
              <w:rPr>
                <w:rFonts w:ascii="Times New Roman" w:hAnsi="Times New Roman" w:cs="Times New Roman"/>
                <w:sz w:val="16"/>
                <w:szCs w:val="16"/>
              </w:rPr>
            </w:pPr>
            <w:r w:rsidRPr="001E7AF1">
              <w:rPr>
                <w:rFonts w:ascii="Times New Roman" w:hAnsi="Times New Roman" w:cs="Times New Roman"/>
                <w:sz w:val="16"/>
                <w:szCs w:val="16"/>
              </w:rPr>
              <w:lastRenderedPageBreak/>
              <w:t xml:space="preserve">Poz. 1. </w:t>
            </w:r>
            <w:r w:rsidR="004557F1">
              <w:rPr>
                <w:rFonts w:ascii="Times New Roman" w:hAnsi="Times New Roman" w:cs="Times New Roman"/>
                <w:sz w:val="16"/>
                <w:szCs w:val="16"/>
              </w:rPr>
              <w:t xml:space="preserve"> K</w:t>
            </w:r>
            <w:r w:rsidR="00DF4C37" w:rsidRPr="001E7AF1">
              <w:rPr>
                <w:rFonts w:ascii="Times New Roman" w:hAnsi="Times New Roman" w:cs="Times New Roman"/>
                <w:sz w:val="16"/>
                <w:szCs w:val="16"/>
              </w:rPr>
              <w:t>oszty nabycia</w:t>
            </w:r>
            <w:r w:rsidR="004755DF" w:rsidRPr="001E7AF1">
              <w:rPr>
                <w:rFonts w:ascii="Times New Roman" w:hAnsi="Times New Roman" w:cs="Times New Roman"/>
                <w:sz w:val="16"/>
                <w:szCs w:val="16"/>
              </w:rPr>
              <w:t xml:space="preserve">, aktualizacji, </w:t>
            </w:r>
            <w:proofErr w:type="spellStart"/>
            <w:r w:rsidR="004755DF" w:rsidRPr="001E7AF1">
              <w:rPr>
                <w:rFonts w:ascii="Times New Roman" w:hAnsi="Times New Roman" w:cs="Times New Roman"/>
                <w:sz w:val="16"/>
                <w:szCs w:val="16"/>
              </w:rPr>
              <w:t>upgrade’u</w:t>
            </w:r>
            <w:proofErr w:type="spellEnd"/>
            <w:r w:rsidR="00DF4C37" w:rsidRPr="001E7AF1">
              <w:rPr>
                <w:rFonts w:ascii="Times New Roman" w:hAnsi="Times New Roman" w:cs="Times New Roman"/>
                <w:sz w:val="16"/>
                <w:szCs w:val="16"/>
              </w:rPr>
              <w:t xml:space="preserve"> </w:t>
            </w:r>
            <w:r w:rsidR="00CE3C26" w:rsidRPr="001E7AF1">
              <w:rPr>
                <w:rFonts w:ascii="Times New Roman" w:hAnsi="Times New Roman" w:cs="Times New Roman"/>
                <w:sz w:val="16"/>
                <w:szCs w:val="16"/>
              </w:rPr>
              <w:t xml:space="preserve">specjalistycznych </w:t>
            </w:r>
            <w:r w:rsidR="004557F1">
              <w:rPr>
                <w:rFonts w:ascii="Times New Roman" w:hAnsi="Times New Roman" w:cs="Times New Roman"/>
                <w:sz w:val="16"/>
                <w:szCs w:val="16"/>
              </w:rPr>
              <w:t>BSP</w:t>
            </w:r>
            <w:r w:rsidR="00DF4C37" w:rsidRPr="001E7AF1">
              <w:rPr>
                <w:rFonts w:ascii="Times New Roman" w:hAnsi="Times New Roman" w:cs="Times New Roman"/>
                <w:sz w:val="16"/>
                <w:szCs w:val="16"/>
              </w:rPr>
              <w:t xml:space="preserve"> </w:t>
            </w:r>
            <w:r w:rsidR="00175A51" w:rsidRPr="001E7AF1">
              <w:rPr>
                <w:rFonts w:ascii="Times New Roman" w:hAnsi="Times New Roman" w:cs="Times New Roman"/>
                <w:sz w:val="16"/>
                <w:szCs w:val="16"/>
              </w:rPr>
              <w:t>niezbędnych do testowania sprawności rozwiązań systemu; szacowanie w oparciu o rzeczywiście ponoszone koszty na etapie realizacji projektu</w:t>
            </w:r>
            <w:r w:rsidR="004755DF" w:rsidRPr="001E7AF1">
              <w:rPr>
                <w:rFonts w:ascii="Times New Roman" w:hAnsi="Times New Roman" w:cs="Times New Roman"/>
                <w:sz w:val="16"/>
                <w:szCs w:val="16"/>
              </w:rPr>
              <w:t xml:space="preserve"> </w:t>
            </w:r>
            <w:r w:rsidR="00F42693" w:rsidRPr="001E7AF1">
              <w:rPr>
                <w:rFonts w:ascii="Times New Roman" w:hAnsi="Times New Roman" w:cs="Times New Roman"/>
                <w:sz w:val="16"/>
                <w:szCs w:val="16"/>
              </w:rPr>
              <w:t>–</w:t>
            </w:r>
            <w:r w:rsidR="004755DF" w:rsidRPr="001E7AF1">
              <w:rPr>
                <w:rFonts w:ascii="Times New Roman" w:hAnsi="Times New Roman" w:cs="Times New Roman"/>
                <w:sz w:val="16"/>
                <w:szCs w:val="16"/>
              </w:rPr>
              <w:t xml:space="preserve"> </w:t>
            </w:r>
            <w:r w:rsidR="004557F1">
              <w:rPr>
                <w:rFonts w:ascii="Times New Roman" w:hAnsi="Times New Roman" w:cs="Times New Roman"/>
                <w:sz w:val="16"/>
                <w:szCs w:val="16"/>
              </w:rPr>
              <w:t>ok. 100 tys</w:t>
            </w:r>
            <w:r w:rsidR="00F42693" w:rsidRPr="001E7AF1">
              <w:rPr>
                <w:rFonts w:ascii="Times New Roman" w:hAnsi="Times New Roman" w:cs="Times New Roman"/>
                <w:sz w:val="16"/>
                <w:szCs w:val="16"/>
              </w:rPr>
              <w:t xml:space="preserve">. zł </w:t>
            </w:r>
            <w:r w:rsidR="00BB1B84">
              <w:rPr>
                <w:rFonts w:ascii="Times New Roman" w:hAnsi="Times New Roman" w:cs="Times New Roman"/>
                <w:sz w:val="16"/>
                <w:szCs w:val="16"/>
              </w:rPr>
              <w:t>k</w:t>
            </w:r>
            <w:r w:rsidR="00F42693" w:rsidRPr="001E7AF1">
              <w:rPr>
                <w:rFonts w:ascii="Times New Roman" w:hAnsi="Times New Roman" w:cs="Times New Roman"/>
                <w:sz w:val="16"/>
                <w:szCs w:val="16"/>
              </w:rPr>
              <w:t>oszt jednej jednostki.</w:t>
            </w:r>
          </w:p>
          <w:p w14:paraId="63F09344" w14:textId="200D721C" w:rsidR="004F41EB" w:rsidRPr="00B5006E" w:rsidRDefault="00A90A65" w:rsidP="004557F1">
            <w:pPr>
              <w:spacing w:before="120" w:after="120"/>
              <w:jc w:val="both"/>
              <w:rPr>
                <w:rFonts w:ascii="Times New Roman" w:hAnsi="Times New Roman" w:cs="Times New Roman"/>
                <w:sz w:val="16"/>
                <w:szCs w:val="16"/>
              </w:rPr>
            </w:pPr>
            <w:r w:rsidRPr="001E7AF1">
              <w:rPr>
                <w:rFonts w:ascii="Times New Roman" w:hAnsi="Times New Roman" w:cs="Times New Roman"/>
                <w:sz w:val="16"/>
                <w:szCs w:val="16"/>
              </w:rPr>
              <w:t xml:space="preserve">Poz. 2. </w:t>
            </w:r>
            <w:r w:rsidR="004557F1">
              <w:rPr>
                <w:rFonts w:ascii="Times New Roman" w:hAnsi="Times New Roman" w:cs="Times New Roman"/>
                <w:sz w:val="16"/>
                <w:szCs w:val="16"/>
              </w:rPr>
              <w:t>K</w:t>
            </w:r>
            <w:r w:rsidR="00DF4C37" w:rsidRPr="001E7AF1">
              <w:rPr>
                <w:rFonts w:ascii="Times New Roman" w:hAnsi="Times New Roman" w:cs="Times New Roman"/>
                <w:sz w:val="16"/>
                <w:szCs w:val="16"/>
              </w:rPr>
              <w:t xml:space="preserve">oszty </w:t>
            </w:r>
            <w:r w:rsidR="002818DC" w:rsidRPr="001E7AF1">
              <w:rPr>
                <w:rFonts w:ascii="Times New Roman" w:hAnsi="Times New Roman" w:cs="Times New Roman"/>
                <w:sz w:val="16"/>
                <w:szCs w:val="16"/>
              </w:rPr>
              <w:t xml:space="preserve">zakupu środków trwałych – sprzętu informatycznego wymagającego wymiany w celu dalszego świadczenia usług, w tym </w:t>
            </w:r>
            <w:r w:rsidR="00F24B4E" w:rsidRPr="001E7AF1">
              <w:rPr>
                <w:rFonts w:ascii="Times New Roman" w:hAnsi="Times New Roman" w:cs="Times New Roman"/>
                <w:sz w:val="16"/>
                <w:szCs w:val="16"/>
              </w:rPr>
              <w:t>koszty utrzymania infrastruktury A</w:t>
            </w:r>
            <w:r w:rsidR="008B20E8" w:rsidRPr="001E7AF1">
              <w:rPr>
                <w:rFonts w:ascii="Times New Roman" w:hAnsi="Times New Roman" w:cs="Times New Roman"/>
                <w:sz w:val="16"/>
                <w:szCs w:val="16"/>
              </w:rPr>
              <w:t>D</w:t>
            </w:r>
            <w:r w:rsidR="00F24B4E" w:rsidRPr="001E7AF1">
              <w:rPr>
                <w:rFonts w:ascii="Times New Roman" w:hAnsi="Times New Roman" w:cs="Times New Roman"/>
                <w:sz w:val="16"/>
                <w:szCs w:val="16"/>
              </w:rPr>
              <w:t xml:space="preserve">SB </w:t>
            </w:r>
            <w:r w:rsidR="008B20E8" w:rsidRPr="001E7AF1">
              <w:rPr>
                <w:rFonts w:ascii="Times New Roman" w:hAnsi="Times New Roman" w:cs="Times New Roman"/>
                <w:sz w:val="16"/>
                <w:szCs w:val="16"/>
              </w:rPr>
              <w:t xml:space="preserve">(wymiana urządzeń) </w:t>
            </w:r>
            <w:r w:rsidR="00F24B4E" w:rsidRPr="001E7AF1">
              <w:rPr>
                <w:rFonts w:ascii="Times New Roman" w:hAnsi="Times New Roman" w:cs="Times New Roman"/>
                <w:sz w:val="16"/>
                <w:szCs w:val="16"/>
              </w:rPr>
              <w:t>– szacowanie w oparciu o rzeczywiście ponoszone koszty na etapie realizacji projektu</w:t>
            </w:r>
            <w:r w:rsidR="001E7AF1" w:rsidRPr="001E7AF1">
              <w:rPr>
                <w:rFonts w:ascii="Times New Roman" w:hAnsi="Times New Roman" w:cs="Times New Roman"/>
                <w:sz w:val="16"/>
                <w:szCs w:val="16"/>
              </w:rPr>
              <w:t xml:space="preserve"> (koszt 1</w:t>
            </w:r>
            <w:r w:rsidR="00ED3952">
              <w:rPr>
                <w:rFonts w:ascii="Times New Roman" w:hAnsi="Times New Roman" w:cs="Times New Roman"/>
                <w:sz w:val="16"/>
                <w:szCs w:val="16"/>
              </w:rPr>
              <w:t xml:space="preserve"> anteny</w:t>
            </w:r>
            <w:r w:rsidR="001E7AF1" w:rsidRPr="001E7AF1">
              <w:rPr>
                <w:rFonts w:ascii="Times New Roman" w:hAnsi="Times New Roman" w:cs="Times New Roman"/>
                <w:sz w:val="16"/>
                <w:szCs w:val="16"/>
              </w:rPr>
              <w:t xml:space="preserve"> odbior</w:t>
            </w:r>
            <w:r w:rsidR="00ED3952">
              <w:rPr>
                <w:rFonts w:ascii="Times New Roman" w:hAnsi="Times New Roman" w:cs="Times New Roman"/>
                <w:sz w:val="16"/>
                <w:szCs w:val="16"/>
              </w:rPr>
              <w:t>czej</w:t>
            </w:r>
            <w:r w:rsidR="001E7AF1" w:rsidRPr="001E7AF1">
              <w:rPr>
                <w:rFonts w:ascii="Times New Roman" w:hAnsi="Times New Roman" w:cs="Times New Roman"/>
                <w:sz w:val="16"/>
                <w:szCs w:val="16"/>
              </w:rPr>
              <w:t xml:space="preserve"> wraz z instalacją to ok. 30 ty</w:t>
            </w:r>
            <w:r w:rsidR="004557F1">
              <w:rPr>
                <w:rFonts w:ascii="Times New Roman" w:hAnsi="Times New Roman" w:cs="Times New Roman"/>
                <w:sz w:val="16"/>
                <w:szCs w:val="16"/>
              </w:rPr>
              <w:t>s</w:t>
            </w:r>
            <w:r w:rsidR="001E7AF1" w:rsidRPr="001E7AF1">
              <w:rPr>
                <w:rFonts w:ascii="Times New Roman" w:hAnsi="Times New Roman" w:cs="Times New Roman"/>
                <w:sz w:val="16"/>
                <w:szCs w:val="16"/>
              </w:rPr>
              <w:t>. zł).</w:t>
            </w:r>
          </w:p>
        </w:tc>
      </w:tr>
      <w:tr w:rsidR="00335979" w:rsidRPr="00B5006E" w14:paraId="40FD432C" w14:textId="4DBB01B7" w:rsidTr="00694876">
        <w:tc>
          <w:tcPr>
            <w:tcW w:w="1425" w:type="dxa"/>
            <w:shd w:val="clear" w:color="auto" w:fill="D9D9D9" w:themeFill="background1" w:themeFillShade="D9"/>
            <w:vAlign w:val="center"/>
          </w:tcPr>
          <w:p w14:paraId="33047E5B" w14:textId="315E55C3" w:rsidR="009A1121" w:rsidRPr="00694876" w:rsidRDefault="009A1121" w:rsidP="009A1121">
            <w:pPr>
              <w:jc w:val="both"/>
              <w:rPr>
                <w:rFonts w:ascii="Times New Roman" w:hAnsi="Times New Roman" w:cs="Times New Roman"/>
                <w:sz w:val="16"/>
                <w:szCs w:val="16"/>
              </w:rPr>
            </w:pPr>
            <w:r w:rsidRPr="00694876">
              <w:rPr>
                <w:rFonts w:ascii="Times New Roman" w:hAnsi="Times New Roman" w:cs="Times New Roman"/>
                <w:b/>
                <w:bCs/>
                <w:sz w:val="16"/>
                <w:szCs w:val="16"/>
              </w:rPr>
              <w:lastRenderedPageBreak/>
              <w:t>Szkolenia</w:t>
            </w:r>
          </w:p>
        </w:tc>
        <w:tc>
          <w:tcPr>
            <w:tcW w:w="1269" w:type="dxa"/>
            <w:shd w:val="clear" w:color="auto" w:fill="D9D9D9" w:themeFill="background1" w:themeFillShade="D9"/>
            <w:vAlign w:val="center"/>
          </w:tcPr>
          <w:p w14:paraId="4E703064" w14:textId="43475B84" w:rsidR="009A1121" w:rsidRPr="00694876" w:rsidRDefault="009A1121" w:rsidP="009A1121">
            <w:pPr>
              <w:jc w:val="center"/>
              <w:rPr>
                <w:rFonts w:ascii="Times New Roman" w:hAnsi="Times New Roman" w:cs="Times New Roman"/>
                <w:sz w:val="16"/>
                <w:szCs w:val="16"/>
              </w:rPr>
            </w:pPr>
            <w:r w:rsidRPr="00694876">
              <w:rPr>
                <w:rFonts w:ascii="Times New Roman" w:hAnsi="Times New Roman" w:cs="Times New Roman"/>
                <w:b/>
                <w:bCs/>
                <w:sz w:val="16"/>
                <w:szCs w:val="16"/>
              </w:rPr>
              <w:t>540</w:t>
            </w:r>
            <w:r w:rsidR="00273EF0">
              <w:rPr>
                <w:rFonts w:ascii="Times New Roman" w:hAnsi="Times New Roman" w:cs="Times New Roman"/>
                <w:b/>
                <w:bCs/>
                <w:sz w:val="16"/>
                <w:szCs w:val="16"/>
              </w:rPr>
              <w:t>.</w:t>
            </w:r>
            <w:r w:rsidRPr="00694876">
              <w:rPr>
                <w:rFonts w:ascii="Times New Roman" w:hAnsi="Times New Roman" w:cs="Times New Roman"/>
                <w:b/>
                <w:bCs/>
                <w:sz w:val="16"/>
                <w:szCs w:val="16"/>
              </w:rPr>
              <w:t>000,00</w:t>
            </w:r>
          </w:p>
        </w:tc>
        <w:tc>
          <w:tcPr>
            <w:tcW w:w="7796" w:type="dxa"/>
            <w:shd w:val="clear" w:color="auto" w:fill="auto"/>
          </w:tcPr>
          <w:p w14:paraId="259C57DD" w14:textId="736FD43B" w:rsidR="004F41EB" w:rsidRPr="00B5006E" w:rsidRDefault="003B57F7" w:rsidP="004557F1">
            <w:pPr>
              <w:spacing w:before="120" w:after="120"/>
              <w:jc w:val="both"/>
              <w:rPr>
                <w:rFonts w:ascii="Times New Roman" w:hAnsi="Times New Roman" w:cs="Times New Roman"/>
                <w:sz w:val="16"/>
                <w:szCs w:val="16"/>
              </w:rPr>
            </w:pPr>
            <w:r w:rsidRPr="00B5006E">
              <w:rPr>
                <w:rFonts w:ascii="Times New Roman" w:hAnsi="Times New Roman" w:cs="Times New Roman"/>
                <w:sz w:val="16"/>
                <w:szCs w:val="16"/>
              </w:rPr>
              <w:t xml:space="preserve">W okresie utrzymania </w:t>
            </w:r>
            <w:r w:rsidR="003A4BB9" w:rsidRPr="00B5006E">
              <w:rPr>
                <w:rFonts w:ascii="Times New Roman" w:hAnsi="Times New Roman" w:cs="Times New Roman"/>
                <w:sz w:val="16"/>
                <w:szCs w:val="16"/>
              </w:rPr>
              <w:t xml:space="preserve">trwałości </w:t>
            </w:r>
            <w:r w:rsidRPr="00B5006E">
              <w:rPr>
                <w:rFonts w:ascii="Times New Roman" w:hAnsi="Times New Roman" w:cs="Times New Roman"/>
                <w:sz w:val="16"/>
                <w:szCs w:val="16"/>
              </w:rPr>
              <w:t xml:space="preserve">projektu zaplanowano </w:t>
            </w:r>
            <w:r w:rsidR="00EA4A8E" w:rsidRPr="00B5006E">
              <w:rPr>
                <w:rFonts w:ascii="Times New Roman" w:hAnsi="Times New Roman" w:cs="Times New Roman"/>
                <w:sz w:val="16"/>
                <w:szCs w:val="16"/>
              </w:rPr>
              <w:t>kontynuację</w:t>
            </w:r>
            <w:r w:rsidR="00560152" w:rsidRPr="00B5006E">
              <w:rPr>
                <w:rFonts w:ascii="Times New Roman" w:hAnsi="Times New Roman" w:cs="Times New Roman"/>
                <w:sz w:val="16"/>
                <w:szCs w:val="16"/>
              </w:rPr>
              <w:t xml:space="preserve"> szkoleń dla </w:t>
            </w:r>
            <w:r w:rsidR="00EA4A8E" w:rsidRPr="00B5006E">
              <w:rPr>
                <w:rFonts w:ascii="Times New Roman" w:hAnsi="Times New Roman" w:cs="Times New Roman"/>
                <w:sz w:val="16"/>
                <w:szCs w:val="16"/>
              </w:rPr>
              <w:t xml:space="preserve">nowych </w:t>
            </w:r>
            <w:r w:rsidR="00560152" w:rsidRPr="00B5006E">
              <w:rPr>
                <w:rFonts w:ascii="Times New Roman" w:hAnsi="Times New Roman" w:cs="Times New Roman"/>
                <w:sz w:val="16"/>
                <w:szCs w:val="16"/>
              </w:rPr>
              <w:t>użytkowników</w:t>
            </w:r>
            <w:r w:rsidR="005C3625" w:rsidRPr="00B5006E">
              <w:rPr>
                <w:rFonts w:ascii="Times New Roman" w:hAnsi="Times New Roman" w:cs="Times New Roman"/>
                <w:sz w:val="16"/>
                <w:szCs w:val="16"/>
              </w:rPr>
              <w:t xml:space="preserve"> zewnętrznych</w:t>
            </w:r>
            <w:r w:rsidR="00560152" w:rsidRPr="00B5006E">
              <w:rPr>
                <w:rFonts w:ascii="Times New Roman" w:hAnsi="Times New Roman" w:cs="Times New Roman"/>
                <w:sz w:val="16"/>
                <w:szCs w:val="16"/>
              </w:rPr>
              <w:t xml:space="preserve"> systemu</w:t>
            </w:r>
            <w:r w:rsidR="00600A86" w:rsidRPr="00B5006E">
              <w:rPr>
                <w:rFonts w:ascii="Times New Roman" w:hAnsi="Times New Roman" w:cs="Times New Roman"/>
                <w:sz w:val="16"/>
                <w:szCs w:val="16"/>
              </w:rPr>
              <w:t xml:space="preserve">, pracowników partnerów </w:t>
            </w:r>
            <w:r w:rsidR="00560152" w:rsidRPr="00B5006E">
              <w:rPr>
                <w:rFonts w:ascii="Times New Roman" w:hAnsi="Times New Roman" w:cs="Times New Roman"/>
                <w:sz w:val="16"/>
                <w:szCs w:val="16"/>
              </w:rPr>
              <w:t xml:space="preserve">oraz </w:t>
            </w:r>
            <w:r w:rsidR="00E1176A" w:rsidRPr="00B5006E">
              <w:rPr>
                <w:rFonts w:ascii="Times New Roman" w:hAnsi="Times New Roman" w:cs="Times New Roman"/>
                <w:sz w:val="16"/>
                <w:szCs w:val="16"/>
              </w:rPr>
              <w:t>niezbędny</w:t>
            </w:r>
            <w:r w:rsidR="003A4BB9" w:rsidRPr="00B5006E">
              <w:rPr>
                <w:rFonts w:ascii="Times New Roman" w:hAnsi="Times New Roman" w:cs="Times New Roman"/>
                <w:sz w:val="16"/>
                <w:szCs w:val="16"/>
              </w:rPr>
              <w:t>ch szkoleń dla członków zespołu.</w:t>
            </w:r>
            <w:r w:rsidR="00560152" w:rsidRPr="00B5006E">
              <w:rPr>
                <w:rFonts w:ascii="Times New Roman" w:hAnsi="Times New Roman" w:cs="Times New Roman"/>
                <w:sz w:val="16"/>
                <w:szCs w:val="16"/>
              </w:rPr>
              <w:t xml:space="preserve"> </w:t>
            </w:r>
            <w:r w:rsidRPr="00B5006E">
              <w:rPr>
                <w:rFonts w:ascii="Times New Roman" w:hAnsi="Times New Roman" w:cs="Times New Roman"/>
                <w:sz w:val="16"/>
                <w:szCs w:val="16"/>
              </w:rPr>
              <w:t xml:space="preserve">Szkolenia te będą dotyczyły m.in. </w:t>
            </w:r>
            <w:r w:rsidR="00010BC6" w:rsidRPr="00B5006E">
              <w:rPr>
                <w:rFonts w:ascii="Times New Roman" w:hAnsi="Times New Roman" w:cs="Times New Roman"/>
                <w:sz w:val="16"/>
                <w:szCs w:val="16"/>
              </w:rPr>
              <w:t>obsługi systemu</w:t>
            </w:r>
            <w:r w:rsidR="003B1A30" w:rsidRPr="00B5006E">
              <w:rPr>
                <w:rFonts w:ascii="Times New Roman" w:hAnsi="Times New Roman" w:cs="Times New Roman"/>
                <w:sz w:val="16"/>
                <w:szCs w:val="16"/>
              </w:rPr>
              <w:t xml:space="preserve"> przez użytkowników końcowych, przez służby porządku publicznego, </w:t>
            </w:r>
            <w:r w:rsidRPr="00B5006E">
              <w:rPr>
                <w:rFonts w:ascii="Times New Roman" w:hAnsi="Times New Roman" w:cs="Times New Roman"/>
                <w:sz w:val="16"/>
                <w:szCs w:val="16"/>
              </w:rPr>
              <w:t xml:space="preserve">a ich koszt został oszacowany na podstawie </w:t>
            </w:r>
            <w:r w:rsidR="00D41038">
              <w:rPr>
                <w:rFonts w:ascii="Times New Roman" w:hAnsi="Times New Roman" w:cs="Times New Roman"/>
                <w:sz w:val="16"/>
                <w:szCs w:val="16"/>
              </w:rPr>
              <w:t>kosztu wynagrodzeń osób szkolących</w:t>
            </w:r>
            <w:r w:rsidRPr="00B5006E">
              <w:rPr>
                <w:rFonts w:ascii="Times New Roman" w:hAnsi="Times New Roman" w:cs="Times New Roman"/>
                <w:sz w:val="16"/>
                <w:szCs w:val="16"/>
              </w:rPr>
              <w:t xml:space="preserve">. </w:t>
            </w:r>
          </w:p>
          <w:tbl>
            <w:tblPr>
              <w:tblStyle w:val="Tabela-Siatka"/>
              <w:tblW w:w="0" w:type="auto"/>
              <w:tblLayout w:type="fixed"/>
              <w:tblLook w:val="04A0" w:firstRow="1" w:lastRow="0" w:firstColumn="1" w:lastColumn="0" w:noHBand="0" w:noVBand="1"/>
            </w:tblPr>
            <w:tblGrid>
              <w:gridCol w:w="1300"/>
              <w:gridCol w:w="1276"/>
              <w:gridCol w:w="1276"/>
              <w:gridCol w:w="1276"/>
              <w:gridCol w:w="1275"/>
              <w:gridCol w:w="1134"/>
            </w:tblGrid>
            <w:tr w:rsidR="004F41EB" w:rsidRPr="00B5006E" w14:paraId="4285DE43" w14:textId="77777777" w:rsidTr="003E4222">
              <w:tc>
                <w:tcPr>
                  <w:tcW w:w="1300" w:type="dxa"/>
                  <w:shd w:val="clear" w:color="auto" w:fill="DBDBDB" w:themeFill="accent3" w:themeFillTint="66"/>
                  <w:vAlign w:val="center"/>
                </w:tcPr>
                <w:p w14:paraId="73221502" w14:textId="77777777" w:rsidR="004F41EB" w:rsidRPr="00B5006E" w:rsidRDefault="004F41EB" w:rsidP="00347AD0">
                  <w:pPr>
                    <w:jc w:val="center"/>
                    <w:rPr>
                      <w:rFonts w:ascii="Times New Roman" w:hAnsi="Times New Roman" w:cs="Times New Roman"/>
                      <w:sz w:val="16"/>
                      <w:szCs w:val="16"/>
                    </w:rPr>
                  </w:pPr>
                  <w:r w:rsidRPr="00B5006E">
                    <w:rPr>
                      <w:rFonts w:ascii="Times New Roman" w:hAnsi="Times New Roman" w:cs="Times New Roman"/>
                      <w:b/>
                      <w:bCs/>
                      <w:sz w:val="16"/>
                      <w:szCs w:val="16"/>
                    </w:rPr>
                    <w:t>2024 r.</w:t>
                  </w:r>
                </w:p>
              </w:tc>
              <w:tc>
                <w:tcPr>
                  <w:tcW w:w="1276" w:type="dxa"/>
                  <w:shd w:val="clear" w:color="auto" w:fill="DBDBDB" w:themeFill="accent3" w:themeFillTint="66"/>
                  <w:vAlign w:val="center"/>
                </w:tcPr>
                <w:p w14:paraId="7D8CE708" w14:textId="77777777" w:rsidR="004F41EB" w:rsidRPr="00B5006E" w:rsidRDefault="004F41EB" w:rsidP="00347AD0">
                  <w:pPr>
                    <w:jc w:val="center"/>
                    <w:rPr>
                      <w:rFonts w:ascii="Times New Roman" w:hAnsi="Times New Roman" w:cs="Times New Roman"/>
                      <w:sz w:val="16"/>
                      <w:szCs w:val="16"/>
                    </w:rPr>
                  </w:pPr>
                  <w:r w:rsidRPr="00B5006E">
                    <w:rPr>
                      <w:rFonts w:ascii="Times New Roman" w:hAnsi="Times New Roman" w:cs="Times New Roman"/>
                      <w:b/>
                      <w:bCs/>
                      <w:sz w:val="16"/>
                      <w:szCs w:val="16"/>
                    </w:rPr>
                    <w:t>2025 r.</w:t>
                  </w:r>
                </w:p>
              </w:tc>
              <w:tc>
                <w:tcPr>
                  <w:tcW w:w="1276" w:type="dxa"/>
                  <w:shd w:val="clear" w:color="auto" w:fill="DBDBDB" w:themeFill="accent3" w:themeFillTint="66"/>
                  <w:vAlign w:val="center"/>
                </w:tcPr>
                <w:p w14:paraId="2188211C" w14:textId="77777777" w:rsidR="004F41EB" w:rsidRPr="00B5006E" w:rsidRDefault="004F41EB" w:rsidP="00347AD0">
                  <w:pPr>
                    <w:jc w:val="center"/>
                    <w:rPr>
                      <w:rFonts w:ascii="Times New Roman" w:hAnsi="Times New Roman" w:cs="Times New Roman"/>
                      <w:sz w:val="16"/>
                      <w:szCs w:val="16"/>
                    </w:rPr>
                  </w:pPr>
                  <w:r w:rsidRPr="00B5006E">
                    <w:rPr>
                      <w:rFonts w:ascii="Times New Roman" w:hAnsi="Times New Roman" w:cs="Times New Roman"/>
                      <w:b/>
                      <w:bCs/>
                      <w:sz w:val="16"/>
                      <w:szCs w:val="16"/>
                    </w:rPr>
                    <w:t>2026 r.</w:t>
                  </w:r>
                </w:p>
              </w:tc>
              <w:tc>
                <w:tcPr>
                  <w:tcW w:w="1276" w:type="dxa"/>
                  <w:shd w:val="clear" w:color="auto" w:fill="DBDBDB" w:themeFill="accent3" w:themeFillTint="66"/>
                  <w:vAlign w:val="center"/>
                </w:tcPr>
                <w:p w14:paraId="7E6AE4BE" w14:textId="77777777" w:rsidR="004F41EB" w:rsidRPr="00B5006E" w:rsidRDefault="004F41EB" w:rsidP="00347AD0">
                  <w:pPr>
                    <w:jc w:val="center"/>
                    <w:rPr>
                      <w:rFonts w:ascii="Times New Roman" w:hAnsi="Times New Roman" w:cs="Times New Roman"/>
                      <w:sz w:val="16"/>
                      <w:szCs w:val="16"/>
                    </w:rPr>
                  </w:pPr>
                  <w:r w:rsidRPr="00B5006E">
                    <w:rPr>
                      <w:rFonts w:ascii="Times New Roman" w:hAnsi="Times New Roman" w:cs="Times New Roman"/>
                      <w:b/>
                      <w:bCs/>
                      <w:sz w:val="16"/>
                      <w:szCs w:val="16"/>
                    </w:rPr>
                    <w:t>2027 r.</w:t>
                  </w:r>
                </w:p>
              </w:tc>
              <w:tc>
                <w:tcPr>
                  <w:tcW w:w="1275" w:type="dxa"/>
                  <w:shd w:val="clear" w:color="auto" w:fill="DBDBDB" w:themeFill="accent3" w:themeFillTint="66"/>
                  <w:vAlign w:val="center"/>
                </w:tcPr>
                <w:p w14:paraId="65D6485A" w14:textId="77777777" w:rsidR="004F41EB" w:rsidRPr="00B5006E" w:rsidRDefault="004F41EB" w:rsidP="00347AD0">
                  <w:pPr>
                    <w:jc w:val="center"/>
                    <w:rPr>
                      <w:rFonts w:ascii="Times New Roman" w:hAnsi="Times New Roman" w:cs="Times New Roman"/>
                      <w:sz w:val="16"/>
                      <w:szCs w:val="16"/>
                    </w:rPr>
                  </w:pPr>
                  <w:r w:rsidRPr="00B5006E">
                    <w:rPr>
                      <w:rFonts w:ascii="Times New Roman" w:hAnsi="Times New Roman" w:cs="Times New Roman"/>
                      <w:b/>
                      <w:bCs/>
                      <w:sz w:val="16"/>
                      <w:szCs w:val="16"/>
                    </w:rPr>
                    <w:t>2028 r.</w:t>
                  </w:r>
                </w:p>
              </w:tc>
              <w:tc>
                <w:tcPr>
                  <w:tcW w:w="1134" w:type="dxa"/>
                  <w:shd w:val="clear" w:color="auto" w:fill="A6A6A6" w:themeFill="background1" w:themeFillShade="A6"/>
                  <w:vAlign w:val="center"/>
                </w:tcPr>
                <w:p w14:paraId="68A2A44C" w14:textId="77777777" w:rsidR="004F41EB" w:rsidRPr="00B5006E" w:rsidRDefault="004F41EB" w:rsidP="00347AD0">
                  <w:pPr>
                    <w:jc w:val="center"/>
                    <w:rPr>
                      <w:rFonts w:ascii="Times New Roman" w:hAnsi="Times New Roman" w:cs="Times New Roman"/>
                      <w:sz w:val="16"/>
                      <w:szCs w:val="16"/>
                    </w:rPr>
                  </w:pPr>
                  <w:r w:rsidRPr="00B5006E">
                    <w:rPr>
                      <w:rFonts w:ascii="Times New Roman" w:hAnsi="Times New Roman" w:cs="Times New Roman"/>
                      <w:b/>
                      <w:bCs/>
                      <w:sz w:val="16"/>
                      <w:szCs w:val="16"/>
                    </w:rPr>
                    <w:t>2024-2028</w:t>
                  </w:r>
                </w:p>
              </w:tc>
            </w:tr>
            <w:tr w:rsidR="004F41EB" w:rsidRPr="00B5006E" w14:paraId="62855AB0" w14:textId="77777777" w:rsidTr="003E4222">
              <w:tc>
                <w:tcPr>
                  <w:tcW w:w="1300" w:type="dxa"/>
                  <w:vAlign w:val="center"/>
                </w:tcPr>
                <w:p w14:paraId="24AC8456" w14:textId="3C432262" w:rsidR="004F41EB" w:rsidRPr="00B5006E" w:rsidRDefault="004F41EB" w:rsidP="00347AD0">
                  <w:pPr>
                    <w:jc w:val="center"/>
                    <w:rPr>
                      <w:rFonts w:ascii="Times New Roman" w:hAnsi="Times New Roman" w:cs="Times New Roman"/>
                      <w:sz w:val="16"/>
                      <w:szCs w:val="16"/>
                    </w:rPr>
                  </w:pPr>
                  <w:r w:rsidRPr="00B5006E">
                    <w:rPr>
                      <w:rFonts w:ascii="Times New Roman" w:hAnsi="Times New Roman" w:cs="Times New Roman"/>
                      <w:sz w:val="16"/>
                      <w:szCs w:val="16"/>
                    </w:rPr>
                    <w:t>108</w:t>
                  </w:r>
                  <w:r w:rsidR="003255DA">
                    <w:rPr>
                      <w:rFonts w:ascii="Times New Roman" w:hAnsi="Times New Roman" w:cs="Times New Roman"/>
                      <w:sz w:val="16"/>
                      <w:szCs w:val="16"/>
                    </w:rPr>
                    <w:t>.</w:t>
                  </w:r>
                  <w:r w:rsidRPr="00B5006E">
                    <w:rPr>
                      <w:rFonts w:ascii="Times New Roman" w:hAnsi="Times New Roman" w:cs="Times New Roman"/>
                      <w:sz w:val="16"/>
                      <w:szCs w:val="16"/>
                    </w:rPr>
                    <w:t>000,00</w:t>
                  </w:r>
                </w:p>
              </w:tc>
              <w:tc>
                <w:tcPr>
                  <w:tcW w:w="1276" w:type="dxa"/>
                  <w:vAlign w:val="center"/>
                </w:tcPr>
                <w:p w14:paraId="095DA279" w14:textId="46F6F23C" w:rsidR="004F41EB" w:rsidRPr="00B5006E" w:rsidRDefault="004F41EB" w:rsidP="00347AD0">
                  <w:pPr>
                    <w:jc w:val="center"/>
                    <w:rPr>
                      <w:rFonts w:ascii="Times New Roman" w:hAnsi="Times New Roman" w:cs="Times New Roman"/>
                      <w:sz w:val="16"/>
                      <w:szCs w:val="16"/>
                    </w:rPr>
                  </w:pPr>
                  <w:r w:rsidRPr="00B5006E">
                    <w:rPr>
                      <w:rFonts w:ascii="Times New Roman" w:hAnsi="Times New Roman" w:cs="Times New Roman"/>
                      <w:sz w:val="16"/>
                      <w:szCs w:val="16"/>
                    </w:rPr>
                    <w:t>108</w:t>
                  </w:r>
                  <w:r w:rsidR="003255DA">
                    <w:rPr>
                      <w:rFonts w:ascii="Times New Roman" w:hAnsi="Times New Roman" w:cs="Times New Roman"/>
                      <w:sz w:val="16"/>
                      <w:szCs w:val="16"/>
                    </w:rPr>
                    <w:t>.</w:t>
                  </w:r>
                  <w:r w:rsidRPr="00B5006E">
                    <w:rPr>
                      <w:rFonts w:ascii="Times New Roman" w:hAnsi="Times New Roman" w:cs="Times New Roman"/>
                      <w:sz w:val="16"/>
                      <w:szCs w:val="16"/>
                    </w:rPr>
                    <w:t>000,00</w:t>
                  </w:r>
                </w:p>
              </w:tc>
              <w:tc>
                <w:tcPr>
                  <w:tcW w:w="1276" w:type="dxa"/>
                  <w:vAlign w:val="center"/>
                </w:tcPr>
                <w:p w14:paraId="682EBD84" w14:textId="469D9B1C" w:rsidR="004F41EB" w:rsidRPr="00B5006E" w:rsidRDefault="004F41EB" w:rsidP="00347AD0">
                  <w:pPr>
                    <w:jc w:val="center"/>
                    <w:rPr>
                      <w:rFonts w:ascii="Times New Roman" w:hAnsi="Times New Roman" w:cs="Times New Roman"/>
                      <w:sz w:val="16"/>
                      <w:szCs w:val="16"/>
                    </w:rPr>
                  </w:pPr>
                  <w:r w:rsidRPr="00B5006E">
                    <w:rPr>
                      <w:rFonts w:ascii="Times New Roman" w:hAnsi="Times New Roman" w:cs="Times New Roman"/>
                      <w:sz w:val="16"/>
                      <w:szCs w:val="16"/>
                    </w:rPr>
                    <w:t>108</w:t>
                  </w:r>
                  <w:r w:rsidR="003255DA">
                    <w:rPr>
                      <w:rFonts w:ascii="Times New Roman" w:hAnsi="Times New Roman" w:cs="Times New Roman"/>
                      <w:sz w:val="16"/>
                      <w:szCs w:val="16"/>
                    </w:rPr>
                    <w:t>.</w:t>
                  </w:r>
                  <w:r w:rsidRPr="00B5006E">
                    <w:rPr>
                      <w:rFonts w:ascii="Times New Roman" w:hAnsi="Times New Roman" w:cs="Times New Roman"/>
                      <w:sz w:val="16"/>
                      <w:szCs w:val="16"/>
                    </w:rPr>
                    <w:t>000,00</w:t>
                  </w:r>
                </w:p>
              </w:tc>
              <w:tc>
                <w:tcPr>
                  <w:tcW w:w="1276" w:type="dxa"/>
                  <w:vAlign w:val="center"/>
                </w:tcPr>
                <w:p w14:paraId="64296EAE" w14:textId="6C2E3CFF" w:rsidR="004F41EB" w:rsidRPr="00B5006E" w:rsidRDefault="004F41EB" w:rsidP="00347AD0">
                  <w:pPr>
                    <w:jc w:val="center"/>
                    <w:rPr>
                      <w:rFonts w:ascii="Times New Roman" w:hAnsi="Times New Roman" w:cs="Times New Roman"/>
                      <w:sz w:val="16"/>
                      <w:szCs w:val="16"/>
                    </w:rPr>
                  </w:pPr>
                  <w:r w:rsidRPr="00B5006E">
                    <w:rPr>
                      <w:rFonts w:ascii="Times New Roman" w:hAnsi="Times New Roman" w:cs="Times New Roman"/>
                      <w:sz w:val="16"/>
                      <w:szCs w:val="16"/>
                    </w:rPr>
                    <w:t>108</w:t>
                  </w:r>
                  <w:r w:rsidR="003255DA">
                    <w:rPr>
                      <w:rFonts w:ascii="Times New Roman" w:hAnsi="Times New Roman" w:cs="Times New Roman"/>
                      <w:sz w:val="16"/>
                      <w:szCs w:val="16"/>
                    </w:rPr>
                    <w:t>.</w:t>
                  </w:r>
                  <w:r w:rsidRPr="00B5006E">
                    <w:rPr>
                      <w:rFonts w:ascii="Times New Roman" w:hAnsi="Times New Roman" w:cs="Times New Roman"/>
                      <w:sz w:val="16"/>
                      <w:szCs w:val="16"/>
                    </w:rPr>
                    <w:t>000,00</w:t>
                  </w:r>
                </w:p>
              </w:tc>
              <w:tc>
                <w:tcPr>
                  <w:tcW w:w="1275" w:type="dxa"/>
                  <w:vAlign w:val="center"/>
                </w:tcPr>
                <w:p w14:paraId="24880179" w14:textId="6DDD7E6B" w:rsidR="004F41EB" w:rsidRPr="00B5006E" w:rsidRDefault="004F41EB" w:rsidP="00347AD0">
                  <w:pPr>
                    <w:jc w:val="center"/>
                    <w:rPr>
                      <w:rFonts w:ascii="Times New Roman" w:hAnsi="Times New Roman" w:cs="Times New Roman"/>
                      <w:sz w:val="16"/>
                      <w:szCs w:val="16"/>
                    </w:rPr>
                  </w:pPr>
                  <w:r w:rsidRPr="00B5006E">
                    <w:rPr>
                      <w:rFonts w:ascii="Times New Roman" w:hAnsi="Times New Roman" w:cs="Times New Roman"/>
                      <w:sz w:val="16"/>
                      <w:szCs w:val="16"/>
                    </w:rPr>
                    <w:t>108</w:t>
                  </w:r>
                  <w:r w:rsidR="003255DA">
                    <w:rPr>
                      <w:rFonts w:ascii="Times New Roman" w:hAnsi="Times New Roman" w:cs="Times New Roman"/>
                      <w:sz w:val="16"/>
                      <w:szCs w:val="16"/>
                    </w:rPr>
                    <w:t>.</w:t>
                  </w:r>
                  <w:r w:rsidRPr="00B5006E">
                    <w:rPr>
                      <w:rFonts w:ascii="Times New Roman" w:hAnsi="Times New Roman" w:cs="Times New Roman"/>
                      <w:sz w:val="16"/>
                      <w:szCs w:val="16"/>
                    </w:rPr>
                    <w:t>000,00</w:t>
                  </w:r>
                </w:p>
              </w:tc>
              <w:tc>
                <w:tcPr>
                  <w:tcW w:w="1134" w:type="dxa"/>
                  <w:shd w:val="clear" w:color="auto" w:fill="A6A6A6" w:themeFill="background1" w:themeFillShade="A6"/>
                  <w:vAlign w:val="center"/>
                </w:tcPr>
                <w:p w14:paraId="10AD46E4" w14:textId="0CE8D436" w:rsidR="004F41EB" w:rsidRPr="00B5006E" w:rsidRDefault="004F41EB" w:rsidP="00347AD0">
                  <w:pPr>
                    <w:jc w:val="center"/>
                    <w:rPr>
                      <w:rFonts w:ascii="Times New Roman" w:hAnsi="Times New Roman" w:cs="Times New Roman"/>
                      <w:sz w:val="16"/>
                      <w:szCs w:val="16"/>
                    </w:rPr>
                  </w:pPr>
                  <w:r w:rsidRPr="00B5006E">
                    <w:rPr>
                      <w:rFonts w:ascii="Times New Roman" w:hAnsi="Times New Roman" w:cs="Times New Roman"/>
                      <w:b/>
                      <w:bCs/>
                      <w:sz w:val="16"/>
                      <w:szCs w:val="16"/>
                    </w:rPr>
                    <w:t>540</w:t>
                  </w:r>
                  <w:r w:rsidR="003255DA">
                    <w:rPr>
                      <w:rFonts w:ascii="Times New Roman" w:hAnsi="Times New Roman" w:cs="Times New Roman"/>
                      <w:b/>
                      <w:bCs/>
                      <w:sz w:val="16"/>
                      <w:szCs w:val="16"/>
                    </w:rPr>
                    <w:t>.</w:t>
                  </w:r>
                  <w:r w:rsidRPr="00B5006E">
                    <w:rPr>
                      <w:rFonts w:ascii="Times New Roman" w:hAnsi="Times New Roman" w:cs="Times New Roman"/>
                      <w:b/>
                      <w:bCs/>
                      <w:sz w:val="16"/>
                      <w:szCs w:val="16"/>
                    </w:rPr>
                    <w:t>000,00</w:t>
                  </w:r>
                </w:p>
              </w:tc>
            </w:tr>
          </w:tbl>
          <w:p w14:paraId="2EDF3739" w14:textId="6CEE38F2" w:rsidR="00106520" w:rsidRPr="00E03F72" w:rsidRDefault="00106520" w:rsidP="004557F1">
            <w:pPr>
              <w:spacing w:before="120" w:after="120"/>
              <w:jc w:val="both"/>
              <w:rPr>
                <w:rFonts w:ascii="Times New Roman" w:hAnsi="Times New Roman" w:cs="Times New Roman"/>
                <w:sz w:val="16"/>
                <w:szCs w:val="16"/>
              </w:rPr>
            </w:pPr>
            <w:r w:rsidRPr="00E03F72">
              <w:rPr>
                <w:rFonts w:ascii="Times New Roman" w:hAnsi="Times New Roman" w:cs="Times New Roman"/>
                <w:sz w:val="16"/>
                <w:szCs w:val="16"/>
              </w:rPr>
              <w:t>W ramach szacunków uwzględniono koszt osobowy prowadzenia szkoleń przez pracowników PAŻP. Kosz</w:t>
            </w:r>
            <w:r w:rsidR="004557F1">
              <w:rPr>
                <w:rFonts w:ascii="Times New Roman" w:hAnsi="Times New Roman" w:cs="Times New Roman"/>
                <w:sz w:val="16"/>
                <w:szCs w:val="16"/>
              </w:rPr>
              <w:t>ty zaangażowania pracowników PAŻ</w:t>
            </w:r>
            <w:r w:rsidRPr="00E03F72">
              <w:rPr>
                <w:rFonts w:ascii="Times New Roman" w:hAnsi="Times New Roman" w:cs="Times New Roman"/>
                <w:sz w:val="16"/>
                <w:szCs w:val="16"/>
              </w:rPr>
              <w:t xml:space="preserve">P zostały oszacowane na podstawie </w:t>
            </w:r>
            <w:r w:rsidR="002C1DD7">
              <w:rPr>
                <w:rFonts w:ascii="Times New Roman" w:hAnsi="Times New Roman" w:cs="Times New Roman"/>
                <w:sz w:val="16"/>
                <w:szCs w:val="16"/>
              </w:rPr>
              <w:t>obowiązującego w PAŻP</w:t>
            </w:r>
            <w:r w:rsidRPr="00E03F72">
              <w:rPr>
                <w:rFonts w:ascii="Times New Roman" w:hAnsi="Times New Roman" w:cs="Times New Roman"/>
                <w:sz w:val="16"/>
                <w:szCs w:val="16"/>
              </w:rPr>
              <w:t xml:space="preserve"> regulaminu wynagradzania oraz przewidywanego ich czasu na prowadzenie działalności trenerskiej (1 etat x 12 m-</w:t>
            </w:r>
            <w:proofErr w:type="spellStart"/>
            <w:r w:rsidRPr="00E03F72">
              <w:rPr>
                <w:rFonts w:ascii="Times New Roman" w:hAnsi="Times New Roman" w:cs="Times New Roman"/>
                <w:sz w:val="16"/>
                <w:szCs w:val="16"/>
              </w:rPr>
              <w:t>cy</w:t>
            </w:r>
            <w:proofErr w:type="spellEnd"/>
            <w:r w:rsidRPr="00E03F72">
              <w:rPr>
                <w:rFonts w:ascii="Times New Roman" w:hAnsi="Times New Roman" w:cs="Times New Roman"/>
                <w:sz w:val="16"/>
                <w:szCs w:val="16"/>
              </w:rPr>
              <w:t xml:space="preserve"> x wynagrodzenie zasadnicze na stanowisku specjalisty wraz z kosztam</w:t>
            </w:r>
            <w:r w:rsidR="002C1DD7">
              <w:rPr>
                <w:rFonts w:ascii="Times New Roman" w:hAnsi="Times New Roman" w:cs="Times New Roman"/>
                <w:sz w:val="16"/>
                <w:szCs w:val="16"/>
              </w:rPr>
              <w:t>i pracodawcy wg obowiązującego w PAŻP regulaminu w</w:t>
            </w:r>
            <w:r w:rsidRPr="00E03F72">
              <w:rPr>
                <w:rFonts w:ascii="Times New Roman" w:hAnsi="Times New Roman" w:cs="Times New Roman"/>
                <w:sz w:val="16"/>
                <w:szCs w:val="16"/>
              </w:rPr>
              <w:t xml:space="preserve">ynagradzania </w:t>
            </w:r>
            <w:r w:rsidR="00E03F72" w:rsidRPr="00E03F72">
              <w:rPr>
                <w:rFonts w:ascii="Times New Roman" w:hAnsi="Times New Roman" w:cs="Times New Roman"/>
                <w:sz w:val="16"/>
                <w:szCs w:val="16"/>
              </w:rPr>
              <w:t>proporcjonalnie do zaangażowania w działalność trenerską.</w:t>
            </w:r>
          </w:p>
          <w:p w14:paraId="1A3D9F93" w14:textId="36B01FA2" w:rsidR="004F41EB" w:rsidRPr="00B5006E" w:rsidRDefault="00E03F72" w:rsidP="004557F1">
            <w:pPr>
              <w:spacing w:before="120" w:after="120"/>
              <w:jc w:val="both"/>
              <w:rPr>
                <w:rFonts w:ascii="Times New Roman" w:hAnsi="Times New Roman" w:cs="Times New Roman"/>
                <w:sz w:val="16"/>
                <w:szCs w:val="16"/>
              </w:rPr>
            </w:pPr>
            <w:r w:rsidRPr="00E03F72">
              <w:rPr>
                <w:rFonts w:ascii="Times New Roman" w:hAnsi="Times New Roman" w:cs="Times New Roman"/>
                <w:sz w:val="16"/>
                <w:szCs w:val="16"/>
              </w:rPr>
              <w:t xml:space="preserve">Łącznie: </w:t>
            </w:r>
            <w:r w:rsidR="00BB76B4" w:rsidRPr="00E03F72">
              <w:rPr>
                <w:rFonts w:ascii="Times New Roman" w:hAnsi="Times New Roman" w:cs="Times New Roman"/>
                <w:sz w:val="16"/>
                <w:szCs w:val="16"/>
              </w:rPr>
              <w:t>84</w:t>
            </w:r>
            <w:r w:rsidR="004557F1">
              <w:rPr>
                <w:rFonts w:ascii="Times New Roman" w:hAnsi="Times New Roman" w:cs="Times New Roman"/>
                <w:sz w:val="16"/>
                <w:szCs w:val="16"/>
              </w:rPr>
              <w:t>.000</w:t>
            </w:r>
            <w:r w:rsidR="00106520" w:rsidRPr="00E03F72">
              <w:rPr>
                <w:rFonts w:ascii="Times New Roman" w:hAnsi="Times New Roman" w:cs="Times New Roman"/>
                <w:sz w:val="16"/>
                <w:szCs w:val="16"/>
              </w:rPr>
              <w:t xml:space="preserve"> zł wynagrodzenia zasadnicze + </w:t>
            </w:r>
            <w:r w:rsidR="008E1727" w:rsidRPr="00E03F72">
              <w:rPr>
                <w:rFonts w:ascii="Times New Roman" w:hAnsi="Times New Roman" w:cs="Times New Roman"/>
                <w:sz w:val="16"/>
                <w:szCs w:val="16"/>
              </w:rPr>
              <w:t>24</w:t>
            </w:r>
            <w:r w:rsidR="004557F1">
              <w:rPr>
                <w:rFonts w:ascii="Times New Roman" w:hAnsi="Times New Roman" w:cs="Times New Roman"/>
                <w:sz w:val="16"/>
                <w:szCs w:val="16"/>
              </w:rPr>
              <w:t>.000</w:t>
            </w:r>
            <w:r w:rsidR="00106520" w:rsidRPr="00E03F72">
              <w:rPr>
                <w:rFonts w:ascii="Times New Roman" w:hAnsi="Times New Roman" w:cs="Times New Roman"/>
                <w:sz w:val="16"/>
                <w:szCs w:val="16"/>
              </w:rPr>
              <w:t xml:space="preserve"> zł koszty pracodawcy = </w:t>
            </w:r>
            <w:r w:rsidR="008E1727" w:rsidRPr="00E03F72">
              <w:rPr>
                <w:rFonts w:ascii="Times New Roman" w:hAnsi="Times New Roman" w:cs="Times New Roman"/>
                <w:sz w:val="16"/>
                <w:szCs w:val="16"/>
              </w:rPr>
              <w:t>108</w:t>
            </w:r>
            <w:r w:rsidR="00106520" w:rsidRPr="00E03F72">
              <w:rPr>
                <w:rFonts w:ascii="Times New Roman" w:hAnsi="Times New Roman" w:cs="Times New Roman"/>
                <w:sz w:val="16"/>
                <w:szCs w:val="16"/>
              </w:rPr>
              <w:t>.000 zł</w:t>
            </w:r>
            <w:r w:rsidRPr="00E03F72">
              <w:rPr>
                <w:rFonts w:ascii="Times New Roman" w:hAnsi="Times New Roman" w:cs="Times New Roman"/>
                <w:sz w:val="16"/>
                <w:szCs w:val="16"/>
              </w:rPr>
              <w:t>.</w:t>
            </w:r>
          </w:p>
        </w:tc>
      </w:tr>
      <w:tr w:rsidR="00335979" w:rsidRPr="00B5006E" w14:paraId="4F75AA54" w14:textId="50A7D210" w:rsidTr="00694876">
        <w:tc>
          <w:tcPr>
            <w:tcW w:w="1425" w:type="dxa"/>
            <w:shd w:val="clear" w:color="auto" w:fill="D9D9D9" w:themeFill="background1" w:themeFillShade="D9"/>
            <w:vAlign w:val="center"/>
          </w:tcPr>
          <w:p w14:paraId="4F06B677" w14:textId="0B0CF063" w:rsidR="009A1121" w:rsidRPr="00694876" w:rsidRDefault="009A1121" w:rsidP="009A1121">
            <w:pPr>
              <w:jc w:val="both"/>
              <w:rPr>
                <w:rFonts w:ascii="Times New Roman" w:hAnsi="Times New Roman" w:cs="Times New Roman"/>
                <w:sz w:val="16"/>
                <w:szCs w:val="16"/>
              </w:rPr>
            </w:pPr>
            <w:r w:rsidRPr="00694876">
              <w:rPr>
                <w:rFonts w:ascii="Times New Roman" w:hAnsi="Times New Roman" w:cs="Times New Roman"/>
                <w:b/>
                <w:bCs/>
                <w:sz w:val="16"/>
                <w:szCs w:val="16"/>
              </w:rPr>
              <w:t>Usługi informatyczne</w:t>
            </w:r>
          </w:p>
        </w:tc>
        <w:tc>
          <w:tcPr>
            <w:tcW w:w="1269" w:type="dxa"/>
            <w:shd w:val="clear" w:color="auto" w:fill="D9D9D9" w:themeFill="background1" w:themeFillShade="D9"/>
            <w:vAlign w:val="center"/>
          </w:tcPr>
          <w:p w14:paraId="4F92D802" w14:textId="7301356B" w:rsidR="009A1121" w:rsidRPr="00694876" w:rsidRDefault="005C72F3" w:rsidP="009A1121">
            <w:pPr>
              <w:jc w:val="center"/>
              <w:rPr>
                <w:rFonts w:ascii="Times New Roman" w:hAnsi="Times New Roman" w:cs="Times New Roman"/>
                <w:sz w:val="16"/>
                <w:szCs w:val="16"/>
              </w:rPr>
            </w:pPr>
            <w:r w:rsidRPr="00694876">
              <w:rPr>
                <w:rFonts w:ascii="Times New Roman" w:hAnsi="Times New Roman" w:cs="Times New Roman"/>
                <w:b/>
                <w:bCs/>
                <w:sz w:val="16"/>
                <w:szCs w:val="16"/>
              </w:rPr>
              <w:t>2</w:t>
            </w:r>
            <w:r w:rsidR="00273EF0">
              <w:rPr>
                <w:rFonts w:ascii="Times New Roman" w:hAnsi="Times New Roman" w:cs="Times New Roman"/>
                <w:b/>
                <w:bCs/>
                <w:sz w:val="16"/>
                <w:szCs w:val="16"/>
              </w:rPr>
              <w:t>.</w:t>
            </w:r>
            <w:r w:rsidRPr="00694876">
              <w:rPr>
                <w:rFonts w:ascii="Times New Roman" w:hAnsi="Times New Roman" w:cs="Times New Roman"/>
                <w:b/>
                <w:bCs/>
                <w:sz w:val="16"/>
                <w:szCs w:val="16"/>
              </w:rPr>
              <w:t>211</w:t>
            </w:r>
            <w:r w:rsidR="00273EF0">
              <w:rPr>
                <w:rFonts w:ascii="Times New Roman" w:hAnsi="Times New Roman" w:cs="Times New Roman"/>
                <w:b/>
                <w:bCs/>
                <w:sz w:val="16"/>
                <w:szCs w:val="16"/>
              </w:rPr>
              <w:t>.</w:t>
            </w:r>
            <w:r w:rsidRPr="00694876">
              <w:rPr>
                <w:rFonts w:ascii="Times New Roman" w:hAnsi="Times New Roman" w:cs="Times New Roman"/>
                <w:b/>
                <w:bCs/>
                <w:sz w:val="16"/>
                <w:szCs w:val="16"/>
              </w:rPr>
              <w:t>000,00</w:t>
            </w:r>
          </w:p>
        </w:tc>
        <w:tc>
          <w:tcPr>
            <w:tcW w:w="7796" w:type="dxa"/>
            <w:shd w:val="clear" w:color="auto" w:fill="auto"/>
          </w:tcPr>
          <w:p w14:paraId="17748E4B" w14:textId="79AFCC8F" w:rsidR="00686AEC" w:rsidRPr="00B5006E" w:rsidRDefault="004A4BDB" w:rsidP="004557F1">
            <w:pPr>
              <w:spacing w:before="120" w:after="120"/>
              <w:jc w:val="both"/>
              <w:rPr>
                <w:rFonts w:ascii="Times New Roman" w:hAnsi="Times New Roman" w:cs="Times New Roman"/>
                <w:sz w:val="16"/>
                <w:szCs w:val="16"/>
              </w:rPr>
            </w:pPr>
            <w:r w:rsidRPr="00B5006E">
              <w:rPr>
                <w:rFonts w:ascii="Times New Roman" w:hAnsi="Times New Roman" w:cs="Times New Roman"/>
                <w:sz w:val="16"/>
                <w:szCs w:val="16"/>
              </w:rPr>
              <w:t xml:space="preserve">W kategorii tej w okresie utrzymania </w:t>
            </w:r>
            <w:r w:rsidR="003A4BB9" w:rsidRPr="00B5006E">
              <w:rPr>
                <w:rFonts w:ascii="Times New Roman" w:hAnsi="Times New Roman" w:cs="Times New Roman"/>
                <w:sz w:val="16"/>
                <w:szCs w:val="16"/>
              </w:rPr>
              <w:t>trwałości projektu</w:t>
            </w:r>
            <w:r w:rsidRPr="00B5006E">
              <w:rPr>
                <w:rFonts w:ascii="Times New Roman" w:hAnsi="Times New Roman" w:cs="Times New Roman"/>
                <w:sz w:val="16"/>
                <w:szCs w:val="16"/>
              </w:rPr>
              <w:t xml:space="preserve"> </w:t>
            </w:r>
            <w:r w:rsidR="004557F1" w:rsidRPr="00B5006E">
              <w:rPr>
                <w:rFonts w:ascii="Times New Roman" w:hAnsi="Times New Roman" w:cs="Times New Roman"/>
                <w:sz w:val="16"/>
                <w:szCs w:val="16"/>
              </w:rPr>
              <w:t xml:space="preserve">w dalszym ciągu </w:t>
            </w:r>
            <w:r w:rsidRPr="00B5006E">
              <w:rPr>
                <w:rFonts w:ascii="Times New Roman" w:hAnsi="Times New Roman" w:cs="Times New Roman"/>
                <w:sz w:val="16"/>
                <w:szCs w:val="16"/>
              </w:rPr>
              <w:t xml:space="preserve">planowane jest wykorzystanie usług chmurowych, których koszt został oszacowany na poziomie cen rynkowych oraz planowanego </w:t>
            </w:r>
            <w:r w:rsidR="00734B96" w:rsidRPr="00B5006E">
              <w:rPr>
                <w:rFonts w:ascii="Times New Roman" w:hAnsi="Times New Roman" w:cs="Times New Roman"/>
                <w:sz w:val="16"/>
                <w:szCs w:val="16"/>
              </w:rPr>
              <w:t xml:space="preserve">znacznie zwiększonego </w:t>
            </w:r>
            <w:r w:rsidRPr="00B5006E">
              <w:rPr>
                <w:rFonts w:ascii="Times New Roman" w:hAnsi="Times New Roman" w:cs="Times New Roman"/>
                <w:sz w:val="16"/>
                <w:szCs w:val="16"/>
              </w:rPr>
              <w:t xml:space="preserve">zapotrzebowania na </w:t>
            </w:r>
            <w:r w:rsidR="00D945B5" w:rsidRPr="00B5006E">
              <w:rPr>
                <w:rFonts w:ascii="Times New Roman" w:hAnsi="Times New Roman" w:cs="Times New Roman"/>
                <w:sz w:val="16"/>
                <w:szCs w:val="16"/>
              </w:rPr>
              <w:t>realizowane</w:t>
            </w:r>
            <w:r w:rsidRPr="00B5006E">
              <w:rPr>
                <w:rFonts w:ascii="Times New Roman" w:hAnsi="Times New Roman" w:cs="Times New Roman"/>
                <w:sz w:val="16"/>
                <w:szCs w:val="16"/>
              </w:rPr>
              <w:t xml:space="preserve"> usługi</w:t>
            </w:r>
            <w:r w:rsidR="001B0295" w:rsidRPr="00B5006E">
              <w:rPr>
                <w:rFonts w:ascii="Times New Roman" w:hAnsi="Times New Roman" w:cs="Times New Roman"/>
                <w:sz w:val="16"/>
                <w:szCs w:val="16"/>
              </w:rPr>
              <w:t xml:space="preserve"> – średnioroczny koszt na poziomie ok. </w:t>
            </w:r>
            <w:r w:rsidR="003F542D" w:rsidRPr="00B5006E">
              <w:rPr>
                <w:rFonts w:ascii="Times New Roman" w:hAnsi="Times New Roman" w:cs="Times New Roman"/>
                <w:sz w:val="16"/>
                <w:szCs w:val="16"/>
              </w:rPr>
              <w:t>440</w:t>
            </w:r>
            <w:r w:rsidR="004557F1">
              <w:rPr>
                <w:rFonts w:ascii="Times New Roman" w:hAnsi="Times New Roman" w:cs="Times New Roman"/>
                <w:sz w:val="16"/>
                <w:szCs w:val="16"/>
              </w:rPr>
              <w:t xml:space="preserve"> tys. zł</w:t>
            </w:r>
            <w:r w:rsidR="00025B69" w:rsidRPr="00B5006E">
              <w:rPr>
                <w:rFonts w:ascii="Times New Roman" w:hAnsi="Times New Roman" w:cs="Times New Roman"/>
                <w:sz w:val="16"/>
                <w:szCs w:val="16"/>
              </w:rPr>
              <w:t>. Uwzględniając rosnący popyt na usługi</w:t>
            </w:r>
            <w:r w:rsidR="00E619D7" w:rsidRPr="00B5006E">
              <w:rPr>
                <w:rFonts w:ascii="Times New Roman" w:hAnsi="Times New Roman" w:cs="Times New Roman"/>
                <w:sz w:val="16"/>
                <w:szCs w:val="16"/>
              </w:rPr>
              <w:t xml:space="preserve"> </w:t>
            </w:r>
            <w:r w:rsidR="009373AB" w:rsidRPr="00B5006E">
              <w:rPr>
                <w:rFonts w:ascii="Times New Roman" w:hAnsi="Times New Roman" w:cs="Times New Roman"/>
                <w:sz w:val="16"/>
                <w:szCs w:val="16"/>
              </w:rPr>
              <w:t xml:space="preserve">i związane z tym </w:t>
            </w:r>
            <w:r w:rsidR="00E619D7" w:rsidRPr="00B5006E">
              <w:rPr>
                <w:rFonts w:ascii="Times New Roman" w:hAnsi="Times New Roman" w:cs="Times New Roman"/>
                <w:sz w:val="16"/>
                <w:szCs w:val="16"/>
              </w:rPr>
              <w:t>zwiększanie liczby użytkowników systemów</w:t>
            </w:r>
            <w:r w:rsidR="00025B69" w:rsidRPr="00B5006E">
              <w:rPr>
                <w:rFonts w:ascii="Times New Roman" w:hAnsi="Times New Roman" w:cs="Times New Roman"/>
                <w:sz w:val="16"/>
                <w:szCs w:val="16"/>
              </w:rPr>
              <w:t xml:space="preserve">, przewiduje się, że niezbędne będzie </w:t>
            </w:r>
            <w:r w:rsidR="00D85945" w:rsidRPr="00B5006E">
              <w:rPr>
                <w:rFonts w:ascii="Times New Roman" w:hAnsi="Times New Roman" w:cs="Times New Roman"/>
                <w:sz w:val="16"/>
                <w:szCs w:val="16"/>
              </w:rPr>
              <w:t>zwiększenie zapotrzebowania na usługi chmurowe</w:t>
            </w:r>
            <w:r w:rsidR="00BC583D" w:rsidRPr="00B5006E">
              <w:rPr>
                <w:rFonts w:ascii="Times New Roman" w:hAnsi="Times New Roman" w:cs="Times New Roman"/>
                <w:sz w:val="16"/>
                <w:szCs w:val="16"/>
              </w:rPr>
              <w:t>.</w:t>
            </w:r>
            <w:r w:rsidR="00ED3952">
              <w:rPr>
                <w:rFonts w:ascii="Times New Roman" w:hAnsi="Times New Roman" w:cs="Times New Roman"/>
                <w:sz w:val="16"/>
                <w:szCs w:val="16"/>
              </w:rPr>
              <w:t xml:space="preserve"> Wraz z uruchomieniem operacyjnym usług zwiększy się znacznie – w stosunku do s</w:t>
            </w:r>
            <w:r w:rsidR="008319BC">
              <w:rPr>
                <w:rFonts w:ascii="Times New Roman" w:hAnsi="Times New Roman" w:cs="Times New Roman"/>
                <w:sz w:val="16"/>
                <w:szCs w:val="16"/>
              </w:rPr>
              <w:t>tanu</w:t>
            </w:r>
            <w:r w:rsidR="00ED3952">
              <w:rPr>
                <w:rFonts w:ascii="Times New Roman" w:hAnsi="Times New Roman" w:cs="Times New Roman"/>
                <w:sz w:val="16"/>
                <w:szCs w:val="16"/>
              </w:rPr>
              <w:t xml:space="preserve"> obecne</w:t>
            </w:r>
            <w:r w:rsidR="008319BC">
              <w:rPr>
                <w:rFonts w:ascii="Times New Roman" w:hAnsi="Times New Roman" w:cs="Times New Roman"/>
                <w:sz w:val="16"/>
                <w:szCs w:val="16"/>
              </w:rPr>
              <w:t>go</w:t>
            </w:r>
            <w:r w:rsidR="00ED3952">
              <w:rPr>
                <w:rFonts w:ascii="Times New Roman" w:hAnsi="Times New Roman" w:cs="Times New Roman"/>
                <w:sz w:val="16"/>
                <w:szCs w:val="16"/>
              </w:rPr>
              <w:t xml:space="preserve"> – obciążenie systemów i procesów utrzymujących usługi</w:t>
            </w:r>
            <w:r w:rsidR="00AE0E3D">
              <w:rPr>
                <w:rFonts w:ascii="Times New Roman" w:hAnsi="Times New Roman" w:cs="Times New Roman"/>
                <w:sz w:val="16"/>
                <w:szCs w:val="16"/>
              </w:rPr>
              <w:t xml:space="preserve">, </w:t>
            </w:r>
            <w:r w:rsidR="008319BC">
              <w:rPr>
                <w:rFonts w:ascii="Times New Roman" w:hAnsi="Times New Roman" w:cs="Times New Roman"/>
                <w:sz w:val="16"/>
                <w:szCs w:val="16"/>
              </w:rPr>
              <w:t>m.in. serwery, pamięci -  moce obliczeniowe, transfer dany</w:t>
            </w:r>
            <w:r w:rsidR="00AE0E3D">
              <w:rPr>
                <w:rFonts w:ascii="Times New Roman" w:hAnsi="Times New Roman" w:cs="Times New Roman"/>
                <w:sz w:val="16"/>
                <w:szCs w:val="16"/>
              </w:rPr>
              <w:t>ch, smsy do weryfikacji</w:t>
            </w:r>
            <w:r w:rsidR="004557F1">
              <w:rPr>
                <w:rFonts w:ascii="Times New Roman" w:hAnsi="Times New Roman" w:cs="Times New Roman"/>
                <w:sz w:val="16"/>
                <w:szCs w:val="16"/>
              </w:rPr>
              <w:t>.</w:t>
            </w:r>
          </w:p>
          <w:tbl>
            <w:tblPr>
              <w:tblStyle w:val="Tabela-Siatka"/>
              <w:tblW w:w="0" w:type="auto"/>
              <w:tblLayout w:type="fixed"/>
              <w:tblLook w:val="04A0" w:firstRow="1" w:lastRow="0" w:firstColumn="1" w:lastColumn="0" w:noHBand="0" w:noVBand="1"/>
            </w:tblPr>
            <w:tblGrid>
              <w:gridCol w:w="1300"/>
              <w:gridCol w:w="1276"/>
              <w:gridCol w:w="1276"/>
              <w:gridCol w:w="1276"/>
              <w:gridCol w:w="1275"/>
              <w:gridCol w:w="1134"/>
            </w:tblGrid>
            <w:tr w:rsidR="004F41EB" w:rsidRPr="00B5006E" w14:paraId="3899E3F1" w14:textId="77777777" w:rsidTr="003E4222">
              <w:tc>
                <w:tcPr>
                  <w:tcW w:w="1300" w:type="dxa"/>
                  <w:shd w:val="clear" w:color="auto" w:fill="DBDBDB" w:themeFill="accent3" w:themeFillTint="66"/>
                  <w:vAlign w:val="center"/>
                </w:tcPr>
                <w:p w14:paraId="473E6523" w14:textId="77777777" w:rsidR="004F41EB" w:rsidRPr="00B5006E" w:rsidRDefault="004F41EB" w:rsidP="00E94A0D">
                  <w:pPr>
                    <w:jc w:val="center"/>
                    <w:rPr>
                      <w:rFonts w:ascii="Times New Roman" w:hAnsi="Times New Roman" w:cs="Times New Roman"/>
                      <w:sz w:val="16"/>
                      <w:szCs w:val="16"/>
                    </w:rPr>
                  </w:pPr>
                  <w:r w:rsidRPr="00B5006E">
                    <w:rPr>
                      <w:rFonts w:ascii="Times New Roman" w:hAnsi="Times New Roman" w:cs="Times New Roman"/>
                      <w:b/>
                      <w:bCs/>
                      <w:sz w:val="16"/>
                      <w:szCs w:val="16"/>
                    </w:rPr>
                    <w:t>2024 r.</w:t>
                  </w:r>
                </w:p>
              </w:tc>
              <w:tc>
                <w:tcPr>
                  <w:tcW w:w="1276" w:type="dxa"/>
                  <w:shd w:val="clear" w:color="auto" w:fill="DBDBDB" w:themeFill="accent3" w:themeFillTint="66"/>
                  <w:vAlign w:val="center"/>
                </w:tcPr>
                <w:p w14:paraId="3FBACB94" w14:textId="77777777" w:rsidR="004F41EB" w:rsidRPr="00B5006E" w:rsidRDefault="004F41EB" w:rsidP="00E94A0D">
                  <w:pPr>
                    <w:jc w:val="center"/>
                    <w:rPr>
                      <w:rFonts w:ascii="Times New Roman" w:hAnsi="Times New Roman" w:cs="Times New Roman"/>
                      <w:sz w:val="16"/>
                      <w:szCs w:val="16"/>
                    </w:rPr>
                  </w:pPr>
                  <w:r w:rsidRPr="00B5006E">
                    <w:rPr>
                      <w:rFonts w:ascii="Times New Roman" w:hAnsi="Times New Roman" w:cs="Times New Roman"/>
                      <w:b/>
                      <w:bCs/>
                      <w:sz w:val="16"/>
                      <w:szCs w:val="16"/>
                    </w:rPr>
                    <w:t>2025 r.</w:t>
                  </w:r>
                </w:p>
              </w:tc>
              <w:tc>
                <w:tcPr>
                  <w:tcW w:w="1276" w:type="dxa"/>
                  <w:shd w:val="clear" w:color="auto" w:fill="DBDBDB" w:themeFill="accent3" w:themeFillTint="66"/>
                  <w:vAlign w:val="center"/>
                </w:tcPr>
                <w:p w14:paraId="7C20BAC3" w14:textId="77777777" w:rsidR="004F41EB" w:rsidRPr="00B5006E" w:rsidRDefault="004F41EB" w:rsidP="00E94A0D">
                  <w:pPr>
                    <w:jc w:val="center"/>
                    <w:rPr>
                      <w:rFonts w:ascii="Times New Roman" w:hAnsi="Times New Roman" w:cs="Times New Roman"/>
                      <w:sz w:val="16"/>
                      <w:szCs w:val="16"/>
                    </w:rPr>
                  </w:pPr>
                  <w:r w:rsidRPr="00B5006E">
                    <w:rPr>
                      <w:rFonts w:ascii="Times New Roman" w:hAnsi="Times New Roman" w:cs="Times New Roman"/>
                      <w:b/>
                      <w:bCs/>
                      <w:sz w:val="16"/>
                      <w:szCs w:val="16"/>
                    </w:rPr>
                    <w:t>2026 r.</w:t>
                  </w:r>
                </w:p>
              </w:tc>
              <w:tc>
                <w:tcPr>
                  <w:tcW w:w="1276" w:type="dxa"/>
                  <w:shd w:val="clear" w:color="auto" w:fill="DBDBDB" w:themeFill="accent3" w:themeFillTint="66"/>
                  <w:vAlign w:val="center"/>
                </w:tcPr>
                <w:p w14:paraId="0EA9CE6B" w14:textId="77777777" w:rsidR="004F41EB" w:rsidRPr="00B5006E" w:rsidRDefault="004F41EB" w:rsidP="00E94A0D">
                  <w:pPr>
                    <w:jc w:val="center"/>
                    <w:rPr>
                      <w:rFonts w:ascii="Times New Roman" w:hAnsi="Times New Roman" w:cs="Times New Roman"/>
                      <w:sz w:val="16"/>
                      <w:szCs w:val="16"/>
                    </w:rPr>
                  </w:pPr>
                  <w:r w:rsidRPr="00B5006E">
                    <w:rPr>
                      <w:rFonts w:ascii="Times New Roman" w:hAnsi="Times New Roman" w:cs="Times New Roman"/>
                      <w:b/>
                      <w:bCs/>
                      <w:sz w:val="16"/>
                      <w:szCs w:val="16"/>
                    </w:rPr>
                    <w:t>2027 r.</w:t>
                  </w:r>
                </w:p>
              </w:tc>
              <w:tc>
                <w:tcPr>
                  <w:tcW w:w="1275" w:type="dxa"/>
                  <w:shd w:val="clear" w:color="auto" w:fill="DBDBDB" w:themeFill="accent3" w:themeFillTint="66"/>
                  <w:vAlign w:val="center"/>
                </w:tcPr>
                <w:p w14:paraId="236090DA" w14:textId="77777777" w:rsidR="004F41EB" w:rsidRPr="00B5006E" w:rsidRDefault="004F41EB" w:rsidP="00E94A0D">
                  <w:pPr>
                    <w:jc w:val="center"/>
                    <w:rPr>
                      <w:rFonts w:ascii="Times New Roman" w:hAnsi="Times New Roman" w:cs="Times New Roman"/>
                      <w:sz w:val="16"/>
                      <w:szCs w:val="16"/>
                    </w:rPr>
                  </w:pPr>
                  <w:r w:rsidRPr="00B5006E">
                    <w:rPr>
                      <w:rFonts w:ascii="Times New Roman" w:hAnsi="Times New Roman" w:cs="Times New Roman"/>
                      <w:b/>
                      <w:bCs/>
                      <w:sz w:val="16"/>
                      <w:szCs w:val="16"/>
                    </w:rPr>
                    <w:t>2028 r.</w:t>
                  </w:r>
                </w:p>
              </w:tc>
              <w:tc>
                <w:tcPr>
                  <w:tcW w:w="1134" w:type="dxa"/>
                  <w:shd w:val="clear" w:color="auto" w:fill="A6A6A6" w:themeFill="background1" w:themeFillShade="A6"/>
                  <w:vAlign w:val="center"/>
                </w:tcPr>
                <w:p w14:paraId="4AA1B497" w14:textId="77777777" w:rsidR="004F41EB" w:rsidRPr="00B5006E" w:rsidRDefault="004F41EB" w:rsidP="00E94A0D">
                  <w:pPr>
                    <w:jc w:val="center"/>
                    <w:rPr>
                      <w:rFonts w:ascii="Times New Roman" w:hAnsi="Times New Roman" w:cs="Times New Roman"/>
                      <w:sz w:val="16"/>
                      <w:szCs w:val="16"/>
                    </w:rPr>
                  </w:pPr>
                  <w:r w:rsidRPr="00B5006E">
                    <w:rPr>
                      <w:rFonts w:ascii="Times New Roman" w:hAnsi="Times New Roman" w:cs="Times New Roman"/>
                      <w:b/>
                      <w:bCs/>
                      <w:sz w:val="16"/>
                      <w:szCs w:val="16"/>
                    </w:rPr>
                    <w:t>2024-2028</w:t>
                  </w:r>
                </w:p>
              </w:tc>
            </w:tr>
            <w:tr w:rsidR="004F41EB" w:rsidRPr="00B5006E" w14:paraId="5018B6BE" w14:textId="77777777" w:rsidTr="003E4222">
              <w:tc>
                <w:tcPr>
                  <w:tcW w:w="1300" w:type="dxa"/>
                </w:tcPr>
                <w:p w14:paraId="02CA5B4A" w14:textId="3A7954ED" w:rsidR="004F41EB" w:rsidRPr="00E94A0D" w:rsidRDefault="004F41EB" w:rsidP="00E94A0D">
                  <w:pPr>
                    <w:jc w:val="center"/>
                    <w:rPr>
                      <w:rFonts w:ascii="Times New Roman" w:hAnsi="Times New Roman" w:cs="Times New Roman"/>
                      <w:b/>
                      <w:bCs/>
                      <w:sz w:val="16"/>
                      <w:szCs w:val="16"/>
                    </w:rPr>
                  </w:pPr>
                  <w:r w:rsidRPr="00E94A0D">
                    <w:rPr>
                      <w:rFonts w:ascii="Times New Roman" w:hAnsi="Times New Roman" w:cs="Times New Roman"/>
                      <w:b/>
                      <w:bCs/>
                      <w:sz w:val="16"/>
                      <w:szCs w:val="16"/>
                    </w:rPr>
                    <w:t>400</w:t>
                  </w:r>
                  <w:r w:rsidR="005D1966">
                    <w:rPr>
                      <w:rFonts w:ascii="Times New Roman" w:hAnsi="Times New Roman" w:cs="Times New Roman"/>
                      <w:b/>
                      <w:bCs/>
                      <w:sz w:val="16"/>
                      <w:szCs w:val="16"/>
                    </w:rPr>
                    <w:t>.</w:t>
                  </w:r>
                  <w:r w:rsidRPr="00E94A0D">
                    <w:rPr>
                      <w:rFonts w:ascii="Times New Roman" w:hAnsi="Times New Roman" w:cs="Times New Roman"/>
                      <w:b/>
                      <w:bCs/>
                      <w:sz w:val="16"/>
                      <w:szCs w:val="16"/>
                    </w:rPr>
                    <w:t>000,00</w:t>
                  </w:r>
                </w:p>
              </w:tc>
              <w:tc>
                <w:tcPr>
                  <w:tcW w:w="1276" w:type="dxa"/>
                </w:tcPr>
                <w:p w14:paraId="281CC4FB" w14:textId="52F4190E" w:rsidR="004F41EB" w:rsidRPr="00E94A0D" w:rsidRDefault="004F41EB" w:rsidP="00E94A0D">
                  <w:pPr>
                    <w:jc w:val="center"/>
                    <w:rPr>
                      <w:rFonts w:ascii="Times New Roman" w:hAnsi="Times New Roman" w:cs="Times New Roman"/>
                      <w:b/>
                      <w:bCs/>
                      <w:sz w:val="16"/>
                      <w:szCs w:val="16"/>
                    </w:rPr>
                  </w:pPr>
                  <w:r w:rsidRPr="00E94A0D">
                    <w:rPr>
                      <w:rFonts w:ascii="Times New Roman" w:hAnsi="Times New Roman" w:cs="Times New Roman"/>
                      <w:b/>
                      <w:bCs/>
                      <w:sz w:val="16"/>
                      <w:szCs w:val="16"/>
                    </w:rPr>
                    <w:t>421</w:t>
                  </w:r>
                  <w:r w:rsidR="005D1966">
                    <w:rPr>
                      <w:rFonts w:ascii="Times New Roman" w:hAnsi="Times New Roman" w:cs="Times New Roman"/>
                      <w:b/>
                      <w:bCs/>
                      <w:sz w:val="16"/>
                      <w:szCs w:val="16"/>
                    </w:rPr>
                    <w:t>.</w:t>
                  </w:r>
                  <w:r w:rsidRPr="00E94A0D">
                    <w:rPr>
                      <w:rFonts w:ascii="Times New Roman" w:hAnsi="Times New Roman" w:cs="Times New Roman"/>
                      <w:b/>
                      <w:bCs/>
                      <w:sz w:val="16"/>
                      <w:szCs w:val="16"/>
                    </w:rPr>
                    <w:t>000,00</w:t>
                  </w:r>
                </w:p>
              </w:tc>
              <w:tc>
                <w:tcPr>
                  <w:tcW w:w="1276" w:type="dxa"/>
                </w:tcPr>
                <w:p w14:paraId="72BD9345" w14:textId="28AF295D" w:rsidR="004F41EB" w:rsidRPr="00E94A0D" w:rsidRDefault="004F41EB" w:rsidP="00E94A0D">
                  <w:pPr>
                    <w:jc w:val="center"/>
                    <w:rPr>
                      <w:rFonts w:ascii="Times New Roman" w:hAnsi="Times New Roman" w:cs="Times New Roman"/>
                      <w:b/>
                      <w:bCs/>
                      <w:sz w:val="16"/>
                      <w:szCs w:val="16"/>
                    </w:rPr>
                  </w:pPr>
                  <w:r w:rsidRPr="00E94A0D">
                    <w:rPr>
                      <w:rFonts w:ascii="Times New Roman" w:hAnsi="Times New Roman" w:cs="Times New Roman"/>
                      <w:b/>
                      <w:bCs/>
                      <w:sz w:val="16"/>
                      <w:szCs w:val="16"/>
                    </w:rPr>
                    <w:t>442</w:t>
                  </w:r>
                  <w:r w:rsidR="005D1966">
                    <w:rPr>
                      <w:rFonts w:ascii="Times New Roman" w:hAnsi="Times New Roman" w:cs="Times New Roman"/>
                      <w:b/>
                      <w:bCs/>
                      <w:sz w:val="16"/>
                      <w:szCs w:val="16"/>
                    </w:rPr>
                    <w:t>.</w:t>
                  </w:r>
                  <w:r w:rsidRPr="00E94A0D">
                    <w:rPr>
                      <w:rFonts w:ascii="Times New Roman" w:hAnsi="Times New Roman" w:cs="Times New Roman"/>
                      <w:b/>
                      <w:bCs/>
                      <w:sz w:val="16"/>
                      <w:szCs w:val="16"/>
                    </w:rPr>
                    <w:t>000,00</w:t>
                  </w:r>
                </w:p>
              </w:tc>
              <w:tc>
                <w:tcPr>
                  <w:tcW w:w="1276" w:type="dxa"/>
                </w:tcPr>
                <w:p w14:paraId="6DC7B6D9" w14:textId="44E71FCD" w:rsidR="004F41EB" w:rsidRPr="00E94A0D" w:rsidRDefault="004F41EB" w:rsidP="00E94A0D">
                  <w:pPr>
                    <w:jc w:val="center"/>
                    <w:rPr>
                      <w:rFonts w:ascii="Times New Roman" w:hAnsi="Times New Roman" w:cs="Times New Roman"/>
                      <w:b/>
                      <w:bCs/>
                      <w:sz w:val="16"/>
                      <w:szCs w:val="16"/>
                    </w:rPr>
                  </w:pPr>
                  <w:r w:rsidRPr="00E94A0D">
                    <w:rPr>
                      <w:rFonts w:ascii="Times New Roman" w:hAnsi="Times New Roman" w:cs="Times New Roman"/>
                      <w:b/>
                      <w:bCs/>
                      <w:sz w:val="16"/>
                      <w:szCs w:val="16"/>
                    </w:rPr>
                    <w:t>464</w:t>
                  </w:r>
                  <w:r w:rsidR="005D1966">
                    <w:rPr>
                      <w:rFonts w:ascii="Times New Roman" w:hAnsi="Times New Roman" w:cs="Times New Roman"/>
                      <w:b/>
                      <w:bCs/>
                      <w:sz w:val="16"/>
                      <w:szCs w:val="16"/>
                    </w:rPr>
                    <w:t>.</w:t>
                  </w:r>
                  <w:r w:rsidRPr="00E94A0D">
                    <w:rPr>
                      <w:rFonts w:ascii="Times New Roman" w:hAnsi="Times New Roman" w:cs="Times New Roman"/>
                      <w:b/>
                      <w:bCs/>
                      <w:sz w:val="16"/>
                      <w:szCs w:val="16"/>
                    </w:rPr>
                    <w:t>000,00</w:t>
                  </w:r>
                </w:p>
              </w:tc>
              <w:tc>
                <w:tcPr>
                  <w:tcW w:w="1275" w:type="dxa"/>
                </w:tcPr>
                <w:p w14:paraId="21BE9B8B" w14:textId="4D6EF5AF" w:rsidR="004F41EB" w:rsidRPr="00E94A0D" w:rsidRDefault="004F41EB" w:rsidP="00E94A0D">
                  <w:pPr>
                    <w:jc w:val="center"/>
                    <w:rPr>
                      <w:rFonts w:ascii="Times New Roman" w:hAnsi="Times New Roman" w:cs="Times New Roman"/>
                      <w:b/>
                      <w:bCs/>
                      <w:sz w:val="16"/>
                      <w:szCs w:val="16"/>
                    </w:rPr>
                  </w:pPr>
                  <w:r w:rsidRPr="00E94A0D">
                    <w:rPr>
                      <w:rFonts w:ascii="Times New Roman" w:hAnsi="Times New Roman" w:cs="Times New Roman"/>
                      <w:b/>
                      <w:bCs/>
                      <w:sz w:val="16"/>
                      <w:szCs w:val="16"/>
                    </w:rPr>
                    <w:t>484</w:t>
                  </w:r>
                  <w:r w:rsidR="005D1966">
                    <w:rPr>
                      <w:rFonts w:ascii="Times New Roman" w:hAnsi="Times New Roman" w:cs="Times New Roman"/>
                      <w:b/>
                      <w:bCs/>
                      <w:sz w:val="16"/>
                      <w:szCs w:val="16"/>
                    </w:rPr>
                    <w:t>.</w:t>
                  </w:r>
                  <w:r w:rsidRPr="00E94A0D">
                    <w:rPr>
                      <w:rFonts w:ascii="Times New Roman" w:hAnsi="Times New Roman" w:cs="Times New Roman"/>
                      <w:b/>
                      <w:bCs/>
                      <w:sz w:val="16"/>
                      <w:szCs w:val="16"/>
                    </w:rPr>
                    <w:t>000,00</w:t>
                  </w:r>
                </w:p>
              </w:tc>
              <w:tc>
                <w:tcPr>
                  <w:tcW w:w="1134" w:type="dxa"/>
                  <w:shd w:val="clear" w:color="auto" w:fill="A6A6A6" w:themeFill="background1" w:themeFillShade="A6"/>
                </w:tcPr>
                <w:p w14:paraId="2861EEF3" w14:textId="62E72A5E" w:rsidR="004F41EB" w:rsidRPr="00B5006E" w:rsidRDefault="004F41EB" w:rsidP="00E94A0D">
                  <w:pPr>
                    <w:jc w:val="center"/>
                    <w:rPr>
                      <w:rFonts w:ascii="Times New Roman" w:hAnsi="Times New Roman" w:cs="Times New Roman"/>
                      <w:sz w:val="16"/>
                      <w:szCs w:val="16"/>
                    </w:rPr>
                  </w:pPr>
                  <w:r w:rsidRPr="00B5006E">
                    <w:rPr>
                      <w:rFonts w:ascii="Times New Roman" w:hAnsi="Times New Roman" w:cs="Times New Roman"/>
                      <w:b/>
                      <w:bCs/>
                      <w:sz w:val="16"/>
                      <w:szCs w:val="16"/>
                    </w:rPr>
                    <w:t>2</w:t>
                  </w:r>
                  <w:r w:rsidR="005D1966">
                    <w:rPr>
                      <w:rFonts w:ascii="Times New Roman" w:hAnsi="Times New Roman" w:cs="Times New Roman"/>
                      <w:b/>
                      <w:bCs/>
                      <w:sz w:val="16"/>
                      <w:szCs w:val="16"/>
                    </w:rPr>
                    <w:t>.</w:t>
                  </w:r>
                  <w:r w:rsidRPr="00B5006E">
                    <w:rPr>
                      <w:rFonts w:ascii="Times New Roman" w:hAnsi="Times New Roman" w:cs="Times New Roman"/>
                      <w:b/>
                      <w:bCs/>
                      <w:sz w:val="16"/>
                      <w:szCs w:val="16"/>
                    </w:rPr>
                    <w:t>211</w:t>
                  </w:r>
                  <w:r w:rsidR="005D1966">
                    <w:rPr>
                      <w:rFonts w:ascii="Times New Roman" w:hAnsi="Times New Roman" w:cs="Times New Roman"/>
                      <w:b/>
                      <w:bCs/>
                      <w:sz w:val="16"/>
                      <w:szCs w:val="16"/>
                    </w:rPr>
                    <w:t>.</w:t>
                  </w:r>
                  <w:r w:rsidRPr="00B5006E">
                    <w:rPr>
                      <w:rFonts w:ascii="Times New Roman" w:hAnsi="Times New Roman" w:cs="Times New Roman"/>
                      <w:b/>
                      <w:bCs/>
                      <w:sz w:val="16"/>
                      <w:szCs w:val="16"/>
                    </w:rPr>
                    <w:t>000,00</w:t>
                  </w:r>
                </w:p>
              </w:tc>
            </w:tr>
            <w:tr w:rsidR="00E91487" w:rsidRPr="00B5006E" w14:paraId="3725F1C9" w14:textId="77777777" w:rsidTr="00AA69F8">
              <w:tc>
                <w:tcPr>
                  <w:tcW w:w="7537" w:type="dxa"/>
                  <w:gridSpan w:val="6"/>
                </w:tcPr>
                <w:p w14:paraId="25B54BB4" w14:textId="6154BCFB" w:rsidR="00006E7B" w:rsidRPr="00B5006E" w:rsidRDefault="00E91487" w:rsidP="00AE0E3D">
                  <w:pPr>
                    <w:spacing w:before="120" w:after="120"/>
                    <w:jc w:val="both"/>
                    <w:rPr>
                      <w:rFonts w:ascii="Times New Roman" w:hAnsi="Times New Roman" w:cs="Times New Roman"/>
                      <w:sz w:val="16"/>
                      <w:szCs w:val="16"/>
                    </w:rPr>
                  </w:pPr>
                  <w:r>
                    <w:rPr>
                      <w:rFonts w:ascii="Times New Roman" w:hAnsi="Times New Roman" w:cs="Times New Roman"/>
                      <w:sz w:val="16"/>
                      <w:szCs w:val="16"/>
                    </w:rPr>
                    <w:t xml:space="preserve">Kalkulacja oparta na </w:t>
                  </w:r>
                  <w:r w:rsidR="003E550E">
                    <w:rPr>
                      <w:rFonts w:ascii="Times New Roman" w:hAnsi="Times New Roman" w:cs="Times New Roman"/>
                      <w:sz w:val="16"/>
                      <w:szCs w:val="16"/>
                    </w:rPr>
                    <w:t>rzeczywistych kosztach usług chmurowych</w:t>
                  </w:r>
                  <w:r w:rsidR="002222D6">
                    <w:rPr>
                      <w:rFonts w:ascii="Times New Roman" w:hAnsi="Times New Roman" w:cs="Times New Roman"/>
                      <w:sz w:val="16"/>
                      <w:szCs w:val="16"/>
                    </w:rPr>
                    <w:t xml:space="preserve"> i </w:t>
                  </w:r>
                  <w:r w:rsidR="00686AEC">
                    <w:rPr>
                      <w:rFonts w:ascii="Times New Roman" w:hAnsi="Times New Roman" w:cs="Times New Roman"/>
                      <w:sz w:val="16"/>
                      <w:szCs w:val="16"/>
                    </w:rPr>
                    <w:t>szacowanych</w:t>
                  </w:r>
                  <w:r w:rsidR="002222D6">
                    <w:rPr>
                      <w:rFonts w:ascii="Times New Roman" w:hAnsi="Times New Roman" w:cs="Times New Roman"/>
                      <w:sz w:val="16"/>
                      <w:szCs w:val="16"/>
                    </w:rPr>
                    <w:t xml:space="preserve"> na etapie przygotowania projektu</w:t>
                  </w:r>
                  <w:r w:rsidR="00F31646">
                    <w:rPr>
                      <w:rFonts w:ascii="Times New Roman" w:hAnsi="Times New Roman" w:cs="Times New Roman"/>
                      <w:sz w:val="16"/>
                      <w:szCs w:val="16"/>
                    </w:rPr>
                    <w:t xml:space="preserve"> (1</w:t>
                  </w:r>
                  <w:r w:rsidR="00AE0E3D">
                    <w:rPr>
                      <w:rFonts w:ascii="Times New Roman" w:hAnsi="Times New Roman" w:cs="Times New Roman"/>
                      <w:sz w:val="16"/>
                      <w:szCs w:val="16"/>
                    </w:rPr>
                    <w:t>50.000</w:t>
                  </w:r>
                  <w:r w:rsidR="00F31646">
                    <w:rPr>
                      <w:rFonts w:ascii="Times New Roman" w:hAnsi="Times New Roman" w:cs="Times New Roman"/>
                      <w:sz w:val="16"/>
                      <w:szCs w:val="16"/>
                    </w:rPr>
                    <w:t xml:space="preserve"> zł rocznie)</w:t>
                  </w:r>
                  <w:r w:rsidR="003E550E">
                    <w:rPr>
                      <w:rFonts w:ascii="Times New Roman" w:hAnsi="Times New Roman" w:cs="Times New Roman"/>
                      <w:sz w:val="16"/>
                      <w:szCs w:val="16"/>
                    </w:rPr>
                    <w:t xml:space="preserve">, uwzględniając jednak </w:t>
                  </w:r>
                  <w:r w:rsidR="00F31646">
                    <w:rPr>
                      <w:rFonts w:ascii="Times New Roman" w:hAnsi="Times New Roman" w:cs="Times New Roman"/>
                      <w:sz w:val="16"/>
                      <w:szCs w:val="16"/>
                    </w:rPr>
                    <w:t>2,5</w:t>
                  </w:r>
                  <w:r w:rsidR="005E20F9">
                    <w:rPr>
                      <w:rFonts w:ascii="Times New Roman" w:hAnsi="Times New Roman" w:cs="Times New Roman"/>
                      <w:sz w:val="16"/>
                      <w:szCs w:val="16"/>
                    </w:rPr>
                    <w:t>-krotny wzrost</w:t>
                  </w:r>
                  <w:r w:rsidR="00F31646">
                    <w:rPr>
                      <w:rFonts w:ascii="Times New Roman" w:hAnsi="Times New Roman" w:cs="Times New Roman"/>
                      <w:sz w:val="16"/>
                      <w:szCs w:val="16"/>
                    </w:rPr>
                    <w:t xml:space="preserve"> liczby danych i procesów niezbędnych do </w:t>
                  </w:r>
                  <w:r w:rsidR="00686AEC">
                    <w:rPr>
                      <w:rFonts w:ascii="Times New Roman" w:hAnsi="Times New Roman" w:cs="Times New Roman"/>
                      <w:sz w:val="16"/>
                      <w:szCs w:val="16"/>
                    </w:rPr>
                    <w:t>obsługi</w:t>
                  </w:r>
                  <w:r w:rsidR="008319BC">
                    <w:rPr>
                      <w:rFonts w:ascii="Times New Roman" w:hAnsi="Times New Roman" w:cs="Times New Roman"/>
                      <w:sz w:val="16"/>
                      <w:szCs w:val="16"/>
                    </w:rPr>
                    <w:t xml:space="preserve"> wdrożonych usług.</w:t>
                  </w:r>
                </w:p>
              </w:tc>
            </w:tr>
          </w:tbl>
          <w:p w14:paraId="51329231" w14:textId="10F98DBB" w:rsidR="004F41EB" w:rsidRPr="00B5006E" w:rsidRDefault="004F41EB" w:rsidP="00C34591">
            <w:pPr>
              <w:jc w:val="both"/>
              <w:rPr>
                <w:rFonts w:ascii="Times New Roman" w:hAnsi="Times New Roman" w:cs="Times New Roman"/>
                <w:sz w:val="16"/>
                <w:szCs w:val="16"/>
              </w:rPr>
            </w:pPr>
          </w:p>
        </w:tc>
      </w:tr>
      <w:tr w:rsidR="00335979" w:rsidRPr="00B5006E" w14:paraId="29BFD795" w14:textId="77777777" w:rsidTr="00694876">
        <w:tc>
          <w:tcPr>
            <w:tcW w:w="1425" w:type="dxa"/>
            <w:shd w:val="clear" w:color="auto" w:fill="D9D9D9" w:themeFill="background1" w:themeFillShade="D9"/>
            <w:vAlign w:val="center"/>
          </w:tcPr>
          <w:p w14:paraId="6AFB3693" w14:textId="59D887EF" w:rsidR="009A1121" w:rsidRPr="00694876" w:rsidRDefault="009A1121" w:rsidP="009A1121">
            <w:pPr>
              <w:jc w:val="both"/>
              <w:rPr>
                <w:rFonts w:ascii="Times New Roman" w:hAnsi="Times New Roman" w:cs="Times New Roman"/>
                <w:b/>
                <w:bCs/>
                <w:sz w:val="16"/>
                <w:szCs w:val="16"/>
              </w:rPr>
            </w:pPr>
            <w:r w:rsidRPr="00694876">
              <w:rPr>
                <w:rFonts w:ascii="Times New Roman" w:hAnsi="Times New Roman" w:cs="Times New Roman"/>
                <w:b/>
                <w:bCs/>
                <w:sz w:val="16"/>
                <w:szCs w:val="16"/>
              </w:rPr>
              <w:t>Usługi wspomagające realizację</w:t>
            </w:r>
          </w:p>
        </w:tc>
        <w:tc>
          <w:tcPr>
            <w:tcW w:w="1269" w:type="dxa"/>
            <w:shd w:val="clear" w:color="auto" w:fill="D9D9D9" w:themeFill="background1" w:themeFillShade="D9"/>
            <w:vAlign w:val="center"/>
          </w:tcPr>
          <w:p w14:paraId="42699319" w14:textId="03135AEE" w:rsidR="009A1121" w:rsidRPr="00694876" w:rsidRDefault="00423675" w:rsidP="009A1121">
            <w:pPr>
              <w:jc w:val="center"/>
              <w:rPr>
                <w:rFonts w:ascii="Times New Roman" w:hAnsi="Times New Roman" w:cs="Times New Roman"/>
                <w:sz w:val="16"/>
                <w:szCs w:val="16"/>
              </w:rPr>
            </w:pPr>
            <w:r w:rsidRPr="00694876">
              <w:rPr>
                <w:rFonts w:ascii="Times New Roman" w:hAnsi="Times New Roman" w:cs="Times New Roman"/>
                <w:b/>
                <w:bCs/>
                <w:sz w:val="16"/>
                <w:szCs w:val="16"/>
              </w:rPr>
              <w:t>3</w:t>
            </w:r>
            <w:r w:rsidR="00273EF0">
              <w:rPr>
                <w:rFonts w:ascii="Times New Roman" w:hAnsi="Times New Roman" w:cs="Times New Roman"/>
                <w:b/>
                <w:bCs/>
                <w:sz w:val="16"/>
                <w:szCs w:val="16"/>
              </w:rPr>
              <w:t>.</w:t>
            </w:r>
            <w:r w:rsidRPr="00694876">
              <w:rPr>
                <w:rFonts w:ascii="Times New Roman" w:hAnsi="Times New Roman" w:cs="Times New Roman"/>
                <w:b/>
                <w:bCs/>
                <w:sz w:val="16"/>
                <w:szCs w:val="16"/>
              </w:rPr>
              <w:t>410</w:t>
            </w:r>
            <w:r w:rsidR="00273EF0">
              <w:rPr>
                <w:rFonts w:ascii="Times New Roman" w:hAnsi="Times New Roman" w:cs="Times New Roman"/>
                <w:b/>
                <w:bCs/>
                <w:sz w:val="16"/>
                <w:szCs w:val="16"/>
              </w:rPr>
              <w:t>.</w:t>
            </w:r>
            <w:r w:rsidRPr="00694876">
              <w:rPr>
                <w:rFonts w:ascii="Times New Roman" w:hAnsi="Times New Roman" w:cs="Times New Roman"/>
                <w:b/>
                <w:bCs/>
                <w:sz w:val="16"/>
                <w:szCs w:val="16"/>
              </w:rPr>
              <w:t>000,00</w:t>
            </w:r>
          </w:p>
        </w:tc>
        <w:tc>
          <w:tcPr>
            <w:tcW w:w="7796" w:type="dxa"/>
            <w:shd w:val="clear" w:color="auto" w:fill="auto"/>
          </w:tcPr>
          <w:p w14:paraId="5A0DC1EE" w14:textId="49158095" w:rsidR="004F41EB" w:rsidRPr="00B5006E" w:rsidRDefault="00A1221C" w:rsidP="00AE0E3D">
            <w:pPr>
              <w:spacing w:before="120" w:after="120"/>
              <w:jc w:val="both"/>
              <w:rPr>
                <w:rFonts w:ascii="Times New Roman" w:hAnsi="Times New Roman" w:cs="Times New Roman"/>
                <w:sz w:val="16"/>
                <w:szCs w:val="16"/>
              </w:rPr>
            </w:pPr>
            <w:r w:rsidRPr="00B5006E">
              <w:rPr>
                <w:rFonts w:ascii="Times New Roman" w:hAnsi="Times New Roman" w:cs="Times New Roman"/>
                <w:sz w:val="16"/>
                <w:szCs w:val="16"/>
              </w:rPr>
              <w:t xml:space="preserve">W okresie utrzymania </w:t>
            </w:r>
            <w:r w:rsidR="003A4BB9" w:rsidRPr="00B5006E">
              <w:rPr>
                <w:rFonts w:ascii="Times New Roman" w:hAnsi="Times New Roman" w:cs="Times New Roman"/>
                <w:sz w:val="16"/>
                <w:szCs w:val="16"/>
              </w:rPr>
              <w:t>trwałości projektu</w:t>
            </w:r>
            <w:r w:rsidRPr="00B5006E">
              <w:rPr>
                <w:rFonts w:ascii="Times New Roman" w:hAnsi="Times New Roman" w:cs="Times New Roman"/>
                <w:sz w:val="16"/>
                <w:szCs w:val="16"/>
              </w:rPr>
              <w:t xml:space="preserve"> planowane </w:t>
            </w:r>
            <w:r w:rsidR="000C6AD5">
              <w:rPr>
                <w:rFonts w:ascii="Times New Roman" w:hAnsi="Times New Roman" w:cs="Times New Roman"/>
                <w:sz w:val="16"/>
                <w:szCs w:val="16"/>
              </w:rPr>
              <w:t>są</w:t>
            </w:r>
            <w:r w:rsidR="00F476CE" w:rsidRPr="00B5006E">
              <w:rPr>
                <w:rFonts w:ascii="Times New Roman" w:hAnsi="Times New Roman" w:cs="Times New Roman"/>
                <w:sz w:val="16"/>
                <w:szCs w:val="16"/>
              </w:rPr>
              <w:t>:</w:t>
            </w:r>
          </w:p>
          <w:tbl>
            <w:tblPr>
              <w:tblStyle w:val="Tabela-Siatka"/>
              <w:tblW w:w="7539" w:type="dxa"/>
              <w:tblLayout w:type="fixed"/>
              <w:tblLook w:val="04A0" w:firstRow="1" w:lastRow="0" w:firstColumn="1" w:lastColumn="0" w:noHBand="0" w:noVBand="1"/>
            </w:tblPr>
            <w:tblGrid>
              <w:gridCol w:w="310"/>
              <w:gridCol w:w="992"/>
              <w:gridCol w:w="1276"/>
              <w:gridCol w:w="1276"/>
              <w:gridCol w:w="1134"/>
              <w:gridCol w:w="1417"/>
              <w:gridCol w:w="1134"/>
            </w:tblGrid>
            <w:tr w:rsidR="008C0E60" w:rsidRPr="00B5006E" w14:paraId="1FF0653F" w14:textId="77777777" w:rsidTr="008C0E60">
              <w:tc>
                <w:tcPr>
                  <w:tcW w:w="310" w:type="dxa"/>
                  <w:shd w:val="clear" w:color="auto" w:fill="DBDBDB" w:themeFill="accent3" w:themeFillTint="66"/>
                </w:tcPr>
                <w:p w14:paraId="26AA64B4" w14:textId="77777777" w:rsidR="008C0E60" w:rsidRPr="00B5006E" w:rsidRDefault="008C0E60" w:rsidP="00E94A0D">
                  <w:pPr>
                    <w:jc w:val="both"/>
                    <w:rPr>
                      <w:rFonts w:ascii="Times New Roman" w:hAnsi="Times New Roman" w:cs="Times New Roman"/>
                      <w:b/>
                      <w:bCs/>
                      <w:sz w:val="16"/>
                      <w:szCs w:val="16"/>
                    </w:rPr>
                  </w:pPr>
                </w:p>
              </w:tc>
              <w:tc>
                <w:tcPr>
                  <w:tcW w:w="992" w:type="dxa"/>
                  <w:shd w:val="clear" w:color="auto" w:fill="DBDBDB" w:themeFill="accent3" w:themeFillTint="66"/>
                  <w:vAlign w:val="center"/>
                </w:tcPr>
                <w:p w14:paraId="39852ED3" w14:textId="0FE6DC9E" w:rsidR="008C0E60" w:rsidRPr="00B5006E" w:rsidRDefault="008C0E60" w:rsidP="00E94A0D">
                  <w:pPr>
                    <w:jc w:val="center"/>
                    <w:rPr>
                      <w:rFonts w:ascii="Times New Roman" w:hAnsi="Times New Roman" w:cs="Times New Roman"/>
                      <w:sz w:val="16"/>
                      <w:szCs w:val="16"/>
                    </w:rPr>
                  </w:pPr>
                  <w:r w:rsidRPr="00B5006E">
                    <w:rPr>
                      <w:rFonts w:ascii="Times New Roman" w:hAnsi="Times New Roman" w:cs="Times New Roman"/>
                      <w:b/>
                      <w:bCs/>
                      <w:sz w:val="16"/>
                      <w:szCs w:val="16"/>
                    </w:rPr>
                    <w:t>2024 r.</w:t>
                  </w:r>
                </w:p>
              </w:tc>
              <w:tc>
                <w:tcPr>
                  <w:tcW w:w="1276" w:type="dxa"/>
                  <w:shd w:val="clear" w:color="auto" w:fill="DBDBDB" w:themeFill="accent3" w:themeFillTint="66"/>
                  <w:vAlign w:val="center"/>
                </w:tcPr>
                <w:p w14:paraId="45622068" w14:textId="77777777" w:rsidR="008C0E60" w:rsidRPr="00B5006E" w:rsidRDefault="008C0E60" w:rsidP="00E94A0D">
                  <w:pPr>
                    <w:jc w:val="center"/>
                    <w:rPr>
                      <w:rFonts w:ascii="Times New Roman" w:hAnsi="Times New Roman" w:cs="Times New Roman"/>
                      <w:sz w:val="16"/>
                      <w:szCs w:val="16"/>
                    </w:rPr>
                  </w:pPr>
                  <w:r w:rsidRPr="00B5006E">
                    <w:rPr>
                      <w:rFonts w:ascii="Times New Roman" w:hAnsi="Times New Roman" w:cs="Times New Roman"/>
                      <w:b/>
                      <w:bCs/>
                      <w:sz w:val="16"/>
                      <w:szCs w:val="16"/>
                    </w:rPr>
                    <w:t>2025 r.</w:t>
                  </w:r>
                </w:p>
              </w:tc>
              <w:tc>
                <w:tcPr>
                  <w:tcW w:w="1276" w:type="dxa"/>
                  <w:shd w:val="clear" w:color="auto" w:fill="DBDBDB" w:themeFill="accent3" w:themeFillTint="66"/>
                  <w:vAlign w:val="center"/>
                </w:tcPr>
                <w:p w14:paraId="608201C2" w14:textId="77777777" w:rsidR="008C0E60" w:rsidRPr="00B5006E" w:rsidRDefault="008C0E60" w:rsidP="00E94A0D">
                  <w:pPr>
                    <w:jc w:val="center"/>
                    <w:rPr>
                      <w:rFonts w:ascii="Times New Roman" w:hAnsi="Times New Roman" w:cs="Times New Roman"/>
                      <w:sz w:val="16"/>
                      <w:szCs w:val="16"/>
                    </w:rPr>
                  </w:pPr>
                  <w:r w:rsidRPr="00B5006E">
                    <w:rPr>
                      <w:rFonts w:ascii="Times New Roman" w:hAnsi="Times New Roman" w:cs="Times New Roman"/>
                      <w:b/>
                      <w:bCs/>
                      <w:sz w:val="16"/>
                      <w:szCs w:val="16"/>
                    </w:rPr>
                    <w:t>2026 r.</w:t>
                  </w:r>
                </w:p>
              </w:tc>
              <w:tc>
                <w:tcPr>
                  <w:tcW w:w="1134" w:type="dxa"/>
                  <w:shd w:val="clear" w:color="auto" w:fill="DBDBDB" w:themeFill="accent3" w:themeFillTint="66"/>
                  <w:vAlign w:val="center"/>
                </w:tcPr>
                <w:p w14:paraId="768A505B" w14:textId="77777777" w:rsidR="008C0E60" w:rsidRPr="00B5006E" w:rsidRDefault="008C0E60" w:rsidP="00E94A0D">
                  <w:pPr>
                    <w:jc w:val="center"/>
                    <w:rPr>
                      <w:rFonts w:ascii="Times New Roman" w:hAnsi="Times New Roman" w:cs="Times New Roman"/>
                      <w:sz w:val="16"/>
                      <w:szCs w:val="16"/>
                    </w:rPr>
                  </w:pPr>
                  <w:r w:rsidRPr="00B5006E">
                    <w:rPr>
                      <w:rFonts w:ascii="Times New Roman" w:hAnsi="Times New Roman" w:cs="Times New Roman"/>
                      <w:b/>
                      <w:bCs/>
                      <w:sz w:val="16"/>
                      <w:szCs w:val="16"/>
                    </w:rPr>
                    <w:t>2027 r.</w:t>
                  </w:r>
                </w:p>
              </w:tc>
              <w:tc>
                <w:tcPr>
                  <w:tcW w:w="1417" w:type="dxa"/>
                  <w:shd w:val="clear" w:color="auto" w:fill="DBDBDB" w:themeFill="accent3" w:themeFillTint="66"/>
                  <w:vAlign w:val="center"/>
                </w:tcPr>
                <w:p w14:paraId="3339ADF1" w14:textId="77777777" w:rsidR="008C0E60" w:rsidRPr="00B5006E" w:rsidRDefault="008C0E60" w:rsidP="00E94A0D">
                  <w:pPr>
                    <w:jc w:val="center"/>
                    <w:rPr>
                      <w:rFonts w:ascii="Times New Roman" w:hAnsi="Times New Roman" w:cs="Times New Roman"/>
                      <w:sz w:val="16"/>
                      <w:szCs w:val="16"/>
                    </w:rPr>
                  </w:pPr>
                  <w:r w:rsidRPr="00B5006E">
                    <w:rPr>
                      <w:rFonts w:ascii="Times New Roman" w:hAnsi="Times New Roman" w:cs="Times New Roman"/>
                      <w:b/>
                      <w:bCs/>
                      <w:sz w:val="16"/>
                      <w:szCs w:val="16"/>
                    </w:rPr>
                    <w:t>2028 r.</w:t>
                  </w:r>
                </w:p>
              </w:tc>
              <w:tc>
                <w:tcPr>
                  <w:tcW w:w="1134" w:type="dxa"/>
                  <w:shd w:val="clear" w:color="auto" w:fill="A6A6A6" w:themeFill="background1" w:themeFillShade="A6"/>
                  <w:vAlign w:val="center"/>
                </w:tcPr>
                <w:p w14:paraId="46D2CC32" w14:textId="77777777" w:rsidR="008C0E60" w:rsidRPr="00B5006E" w:rsidRDefault="008C0E60" w:rsidP="00E94A0D">
                  <w:pPr>
                    <w:jc w:val="center"/>
                    <w:rPr>
                      <w:rFonts w:ascii="Times New Roman" w:hAnsi="Times New Roman" w:cs="Times New Roman"/>
                      <w:sz w:val="16"/>
                      <w:szCs w:val="16"/>
                    </w:rPr>
                  </w:pPr>
                  <w:r w:rsidRPr="00B5006E">
                    <w:rPr>
                      <w:rFonts w:ascii="Times New Roman" w:hAnsi="Times New Roman" w:cs="Times New Roman"/>
                      <w:b/>
                      <w:bCs/>
                      <w:sz w:val="16"/>
                      <w:szCs w:val="16"/>
                    </w:rPr>
                    <w:t>2024-2028</w:t>
                  </w:r>
                </w:p>
              </w:tc>
            </w:tr>
            <w:tr w:rsidR="008C0E60" w:rsidRPr="00B5006E" w14:paraId="6F75A249" w14:textId="77777777" w:rsidTr="008C0E60">
              <w:tc>
                <w:tcPr>
                  <w:tcW w:w="310" w:type="dxa"/>
                </w:tcPr>
                <w:p w14:paraId="7E1998C8" w14:textId="77777777" w:rsidR="008C0E60" w:rsidRPr="003C150A" w:rsidRDefault="008C0E60" w:rsidP="00E94A0D">
                  <w:pPr>
                    <w:jc w:val="both"/>
                    <w:rPr>
                      <w:rFonts w:ascii="Times New Roman" w:hAnsi="Times New Roman" w:cs="Times New Roman"/>
                      <w:b/>
                      <w:bCs/>
                      <w:sz w:val="16"/>
                      <w:szCs w:val="16"/>
                    </w:rPr>
                  </w:pPr>
                </w:p>
              </w:tc>
              <w:tc>
                <w:tcPr>
                  <w:tcW w:w="992" w:type="dxa"/>
                  <w:vAlign w:val="center"/>
                </w:tcPr>
                <w:p w14:paraId="6468D583" w14:textId="3530597C" w:rsidR="008C0E60" w:rsidRPr="003C150A" w:rsidRDefault="008C0E60" w:rsidP="00E94A0D">
                  <w:pPr>
                    <w:jc w:val="center"/>
                    <w:rPr>
                      <w:rFonts w:ascii="Times New Roman" w:hAnsi="Times New Roman" w:cs="Times New Roman"/>
                      <w:b/>
                      <w:bCs/>
                      <w:sz w:val="16"/>
                      <w:szCs w:val="16"/>
                    </w:rPr>
                  </w:pPr>
                  <w:r w:rsidRPr="003C150A">
                    <w:rPr>
                      <w:rFonts w:ascii="Times New Roman" w:hAnsi="Times New Roman" w:cs="Times New Roman"/>
                      <w:b/>
                      <w:bCs/>
                      <w:sz w:val="16"/>
                      <w:szCs w:val="16"/>
                    </w:rPr>
                    <w:t>550</w:t>
                  </w:r>
                  <w:r w:rsidR="00B77CE9">
                    <w:rPr>
                      <w:rFonts w:ascii="Times New Roman" w:hAnsi="Times New Roman" w:cs="Times New Roman"/>
                      <w:b/>
                      <w:bCs/>
                      <w:sz w:val="16"/>
                      <w:szCs w:val="16"/>
                    </w:rPr>
                    <w:t>.</w:t>
                  </w:r>
                  <w:r w:rsidRPr="003C150A">
                    <w:rPr>
                      <w:rFonts w:ascii="Times New Roman" w:hAnsi="Times New Roman" w:cs="Times New Roman"/>
                      <w:b/>
                      <w:bCs/>
                      <w:sz w:val="16"/>
                      <w:szCs w:val="16"/>
                    </w:rPr>
                    <w:t>000,00</w:t>
                  </w:r>
                </w:p>
              </w:tc>
              <w:tc>
                <w:tcPr>
                  <w:tcW w:w="1276" w:type="dxa"/>
                  <w:vAlign w:val="center"/>
                </w:tcPr>
                <w:p w14:paraId="24D3E233" w14:textId="796DE618" w:rsidR="008C0E60" w:rsidRPr="003C150A" w:rsidRDefault="008C0E60" w:rsidP="00E94A0D">
                  <w:pPr>
                    <w:jc w:val="center"/>
                    <w:rPr>
                      <w:rFonts w:ascii="Times New Roman" w:hAnsi="Times New Roman" w:cs="Times New Roman"/>
                      <w:b/>
                      <w:bCs/>
                      <w:sz w:val="16"/>
                      <w:szCs w:val="16"/>
                    </w:rPr>
                  </w:pPr>
                  <w:r w:rsidRPr="003C150A">
                    <w:rPr>
                      <w:rFonts w:ascii="Times New Roman" w:hAnsi="Times New Roman" w:cs="Times New Roman"/>
                      <w:b/>
                      <w:bCs/>
                      <w:sz w:val="16"/>
                      <w:szCs w:val="16"/>
                    </w:rPr>
                    <w:t>600</w:t>
                  </w:r>
                  <w:r w:rsidR="00B77CE9">
                    <w:rPr>
                      <w:rFonts w:ascii="Times New Roman" w:hAnsi="Times New Roman" w:cs="Times New Roman"/>
                      <w:b/>
                      <w:bCs/>
                      <w:sz w:val="16"/>
                      <w:szCs w:val="16"/>
                    </w:rPr>
                    <w:t>.</w:t>
                  </w:r>
                  <w:r w:rsidRPr="003C150A">
                    <w:rPr>
                      <w:rFonts w:ascii="Times New Roman" w:hAnsi="Times New Roman" w:cs="Times New Roman"/>
                      <w:b/>
                      <w:bCs/>
                      <w:sz w:val="16"/>
                      <w:szCs w:val="16"/>
                    </w:rPr>
                    <w:t>000,00</w:t>
                  </w:r>
                </w:p>
              </w:tc>
              <w:tc>
                <w:tcPr>
                  <w:tcW w:w="1276" w:type="dxa"/>
                  <w:vAlign w:val="center"/>
                </w:tcPr>
                <w:p w14:paraId="6F998FAC" w14:textId="7943EFE6" w:rsidR="008C0E60" w:rsidRPr="003C150A" w:rsidRDefault="008C0E60" w:rsidP="00E94A0D">
                  <w:pPr>
                    <w:jc w:val="center"/>
                    <w:rPr>
                      <w:rFonts w:ascii="Times New Roman" w:hAnsi="Times New Roman" w:cs="Times New Roman"/>
                      <w:b/>
                      <w:bCs/>
                      <w:sz w:val="16"/>
                      <w:szCs w:val="16"/>
                    </w:rPr>
                  </w:pPr>
                  <w:r w:rsidRPr="003C150A">
                    <w:rPr>
                      <w:rFonts w:ascii="Times New Roman" w:hAnsi="Times New Roman" w:cs="Times New Roman"/>
                      <w:b/>
                      <w:bCs/>
                      <w:sz w:val="16"/>
                      <w:szCs w:val="16"/>
                    </w:rPr>
                    <w:t>720</w:t>
                  </w:r>
                  <w:r w:rsidR="00B77CE9">
                    <w:rPr>
                      <w:rFonts w:ascii="Times New Roman" w:hAnsi="Times New Roman" w:cs="Times New Roman"/>
                      <w:b/>
                      <w:bCs/>
                      <w:sz w:val="16"/>
                      <w:szCs w:val="16"/>
                    </w:rPr>
                    <w:t>.</w:t>
                  </w:r>
                  <w:r w:rsidRPr="003C150A">
                    <w:rPr>
                      <w:rFonts w:ascii="Times New Roman" w:hAnsi="Times New Roman" w:cs="Times New Roman"/>
                      <w:b/>
                      <w:bCs/>
                      <w:sz w:val="16"/>
                      <w:szCs w:val="16"/>
                    </w:rPr>
                    <w:t>000,00</w:t>
                  </w:r>
                </w:p>
              </w:tc>
              <w:tc>
                <w:tcPr>
                  <w:tcW w:w="1134" w:type="dxa"/>
                  <w:vAlign w:val="center"/>
                </w:tcPr>
                <w:p w14:paraId="7129AED2" w14:textId="321E915D" w:rsidR="008C0E60" w:rsidRPr="003C150A" w:rsidRDefault="008C0E60" w:rsidP="00E94A0D">
                  <w:pPr>
                    <w:jc w:val="center"/>
                    <w:rPr>
                      <w:rFonts w:ascii="Times New Roman" w:hAnsi="Times New Roman" w:cs="Times New Roman"/>
                      <w:b/>
                      <w:bCs/>
                      <w:sz w:val="16"/>
                      <w:szCs w:val="16"/>
                    </w:rPr>
                  </w:pPr>
                  <w:r w:rsidRPr="003C150A">
                    <w:rPr>
                      <w:rFonts w:ascii="Times New Roman" w:hAnsi="Times New Roman" w:cs="Times New Roman"/>
                      <w:b/>
                      <w:bCs/>
                      <w:sz w:val="16"/>
                      <w:szCs w:val="16"/>
                    </w:rPr>
                    <w:t>770</w:t>
                  </w:r>
                  <w:r w:rsidR="00B77CE9">
                    <w:rPr>
                      <w:rFonts w:ascii="Times New Roman" w:hAnsi="Times New Roman" w:cs="Times New Roman"/>
                      <w:b/>
                      <w:bCs/>
                      <w:sz w:val="16"/>
                      <w:szCs w:val="16"/>
                    </w:rPr>
                    <w:t>.</w:t>
                  </w:r>
                  <w:r w:rsidRPr="003C150A">
                    <w:rPr>
                      <w:rFonts w:ascii="Times New Roman" w:hAnsi="Times New Roman" w:cs="Times New Roman"/>
                      <w:b/>
                      <w:bCs/>
                      <w:sz w:val="16"/>
                      <w:szCs w:val="16"/>
                    </w:rPr>
                    <w:t>000,00</w:t>
                  </w:r>
                </w:p>
              </w:tc>
              <w:tc>
                <w:tcPr>
                  <w:tcW w:w="1417" w:type="dxa"/>
                  <w:vAlign w:val="center"/>
                </w:tcPr>
                <w:p w14:paraId="67249982" w14:textId="0877C1A7" w:rsidR="008C0E60" w:rsidRPr="003C150A" w:rsidRDefault="008C0E60" w:rsidP="00E94A0D">
                  <w:pPr>
                    <w:jc w:val="center"/>
                    <w:rPr>
                      <w:rFonts w:ascii="Times New Roman" w:hAnsi="Times New Roman" w:cs="Times New Roman"/>
                      <w:b/>
                      <w:bCs/>
                      <w:sz w:val="16"/>
                      <w:szCs w:val="16"/>
                    </w:rPr>
                  </w:pPr>
                  <w:r w:rsidRPr="003C150A">
                    <w:rPr>
                      <w:rFonts w:ascii="Times New Roman" w:hAnsi="Times New Roman" w:cs="Times New Roman"/>
                      <w:b/>
                      <w:bCs/>
                      <w:sz w:val="16"/>
                      <w:szCs w:val="16"/>
                    </w:rPr>
                    <w:t>770</w:t>
                  </w:r>
                  <w:r w:rsidR="00B77CE9">
                    <w:rPr>
                      <w:rFonts w:ascii="Times New Roman" w:hAnsi="Times New Roman" w:cs="Times New Roman"/>
                      <w:b/>
                      <w:bCs/>
                      <w:sz w:val="16"/>
                      <w:szCs w:val="16"/>
                    </w:rPr>
                    <w:t>.</w:t>
                  </w:r>
                  <w:r w:rsidRPr="003C150A">
                    <w:rPr>
                      <w:rFonts w:ascii="Times New Roman" w:hAnsi="Times New Roman" w:cs="Times New Roman"/>
                      <w:b/>
                      <w:bCs/>
                      <w:sz w:val="16"/>
                      <w:szCs w:val="16"/>
                    </w:rPr>
                    <w:t>000,00</w:t>
                  </w:r>
                </w:p>
              </w:tc>
              <w:tc>
                <w:tcPr>
                  <w:tcW w:w="1134" w:type="dxa"/>
                  <w:shd w:val="clear" w:color="auto" w:fill="A6A6A6" w:themeFill="background1" w:themeFillShade="A6"/>
                  <w:vAlign w:val="center"/>
                </w:tcPr>
                <w:p w14:paraId="02220DBC" w14:textId="2CF39E1C" w:rsidR="008C0E60" w:rsidRPr="00B5006E" w:rsidRDefault="008C0E60" w:rsidP="00E94A0D">
                  <w:pPr>
                    <w:jc w:val="center"/>
                    <w:rPr>
                      <w:rFonts w:ascii="Times New Roman" w:hAnsi="Times New Roman" w:cs="Times New Roman"/>
                      <w:sz w:val="16"/>
                      <w:szCs w:val="16"/>
                    </w:rPr>
                  </w:pPr>
                  <w:r w:rsidRPr="00B5006E">
                    <w:rPr>
                      <w:rFonts w:ascii="Times New Roman" w:hAnsi="Times New Roman" w:cs="Times New Roman"/>
                      <w:b/>
                      <w:bCs/>
                      <w:sz w:val="16"/>
                      <w:szCs w:val="16"/>
                    </w:rPr>
                    <w:t>3</w:t>
                  </w:r>
                  <w:r w:rsidR="00B77CE9">
                    <w:rPr>
                      <w:rFonts w:ascii="Times New Roman" w:hAnsi="Times New Roman" w:cs="Times New Roman"/>
                      <w:b/>
                      <w:bCs/>
                      <w:sz w:val="16"/>
                      <w:szCs w:val="16"/>
                    </w:rPr>
                    <w:t>.</w:t>
                  </w:r>
                  <w:r w:rsidRPr="00B5006E">
                    <w:rPr>
                      <w:rFonts w:ascii="Times New Roman" w:hAnsi="Times New Roman" w:cs="Times New Roman"/>
                      <w:b/>
                      <w:bCs/>
                      <w:sz w:val="16"/>
                      <w:szCs w:val="16"/>
                    </w:rPr>
                    <w:t>410</w:t>
                  </w:r>
                  <w:r w:rsidR="00B77CE9">
                    <w:rPr>
                      <w:rFonts w:ascii="Times New Roman" w:hAnsi="Times New Roman" w:cs="Times New Roman"/>
                      <w:b/>
                      <w:bCs/>
                      <w:sz w:val="16"/>
                      <w:szCs w:val="16"/>
                    </w:rPr>
                    <w:t>.</w:t>
                  </w:r>
                  <w:r w:rsidRPr="00B5006E">
                    <w:rPr>
                      <w:rFonts w:ascii="Times New Roman" w:hAnsi="Times New Roman" w:cs="Times New Roman"/>
                      <w:b/>
                      <w:bCs/>
                      <w:sz w:val="16"/>
                      <w:szCs w:val="16"/>
                    </w:rPr>
                    <w:t>000,00</w:t>
                  </w:r>
                </w:p>
              </w:tc>
            </w:tr>
            <w:tr w:rsidR="008C0E60" w:rsidRPr="00B5006E" w14:paraId="1DA956B4" w14:textId="77777777" w:rsidTr="008C0E60">
              <w:tc>
                <w:tcPr>
                  <w:tcW w:w="310" w:type="dxa"/>
                </w:tcPr>
                <w:p w14:paraId="43F43DCE" w14:textId="5A3C441F" w:rsidR="008C0E60" w:rsidRPr="00B5006E" w:rsidRDefault="008C0E60" w:rsidP="00E94A0D">
                  <w:pPr>
                    <w:jc w:val="both"/>
                    <w:rPr>
                      <w:rFonts w:ascii="Times New Roman" w:hAnsi="Times New Roman" w:cs="Times New Roman"/>
                      <w:sz w:val="16"/>
                      <w:szCs w:val="16"/>
                    </w:rPr>
                  </w:pPr>
                  <w:r>
                    <w:rPr>
                      <w:rFonts w:ascii="Times New Roman" w:hAnsi="Times New Roman" w:cs="Times New Roman"/>
                      <w:sz w:val="16"/>
                      <w:szCs w:val="16"/>
                    </w:rPr>
                    <w:t>1</w:t>
                  </w:r>
                </w:p>
              </w:tc>
              <w:tc>
                <w:tcPr>
                  <w:tcW w:w="992" w:type="dxa"/>
                </w:tcPr>
                <w:p w14:paraId="437B6D7B" w14:textId="16BE1772" w:rsidR="008C0E60" w:rsidRPr="00B5006E" w:rsidRDefault="00043650" w:rsidP="00E94A0D">
                  <w:pPr>
                    <w:jc w:val="center"/>
                    <w:rPr>
                      <w:rFonts w:ascii="Times New Roman" w:hAnsi="Times New Roman" w:cs="Times New Roman"/>
                      <w:sz w:val="16"/>
                      <w:szCs w:val="16"/>
                    </w:rPr>
                  </w:pPr>
                  <w:r>
                    <w:rPr>
                      <w:rFonts w:ascii="Times New Roman" w:hAnsi="Times New Roman" w:cs="Times New Roman"/>
                      <w:sz w:val="16"/>
                      <w:szCs w:val="16"/>
                    </w:rPr>
                    <w:t>2</w:t>
                  </w:r>
                  <w:r w:rsidR="00EC6327">
                    <w:rPr>
                      <w:rFonts w:ascii="Times New Roman" w:hAnsi="Times New Roman" w:cs="Times New Roman"/>
                      <w:sz w:val="16"/>
                      <w:szCs w:val="16"/>
                    </w:rPr>
                    <w:t>00.000,00</w:t>
                  </w:r>
                </w:p>
              </w:tc>
              <w:tc>
                <w:tcPr>
                  <w:tcW w:w="1276" w:type="dxa"/>
                </w:tcPr>
                <w:p w14:paraId="7123D528" w14:textId="719B32E9" w:rsidR="008C0E60" w:rsidRPr="00B5006E" w:rsidRDefault="00043650" w:rsidP="00E94A0D">
                  <w:pPr>
                    <w:jc w:val="center"/>
                    <w:rPr>
                      <w:rFonts w:ascii="Times New Roman" w:hAnsi="Times New Roman" w:cs="Times New Roman"/>
                      <w:sz w:val="16"/>
                      <w:szCs w:val="16"/>
                    </w:rPr>
                  </w:pPr>
                  <w:r>
                    <w:rPr>
                      <w:rFonts w:ascii="Times New Roman" w:hAnsi="Times New Roman" w:cs="Times New Roman"/>
                      <w:sz w:val="16"/>
                      <w:szCs w:val="16"/>
                    </w:rPr>
                    <w:t>20</w:t>
                  </w:r>
                  <w:r w:rsidR="00EC6327">
                    <w:rPr>
                      <w:rFonts w:ascii="Times New Roman" w:hAnsi="Times New Roman" w:cs="Times New Roman"/>
                      <w:sz w:val="16"/>
                      <w:szCs w:val="16"/>
                    </w:rPr>
                    <w:t>0.000,00</w:t>
                  </w:r>
                </w:p>
              </w:tc>
              <w:tc>
                <w:tcPr>
                  <w:tcW w:w="1276" w:type="dxa"/>
                </w:tcPr>
                <w:p w14:paraId="06B558B2" w14:textId="3CFC0726" w:rsidR="008C0E60" w:rsidRPr="00B5006E" w:rsidRDefault="00043650" w:rsidP="00E94A0D">
                  <w:pPr>
                    <w:jc w:val="center"/>
                    <w:rPr>
                      <w:rFonts w:ascii="Times New Roman" w:hAnsi="Times New Roman" w:cs="Times New Roman"/>
                      <w:sz w:val="16"/>
                      <w:szCs w:val="16"/>
                    </w:rPr>
                  </w:pPr>
                  <w:r>
                    <w:rPr>
                      <w:rFonts w:ascii="Times New Roman" w:hAnsi="Times New Roman" w:cs="Times New Roman"/>
                      <w:sz w:val="16"/>
                      <w:szCs w:val="16"/>
                    </w:rPr>
                    <w:t>30</w:t>
                  </w:r>
                  <w:r w:rsidR="00EC6327">
                    <w:rPr>
                      <w:rFonts w:ascii="Times New Roman" w:hAnsi="Times New Roman" w:cs="Times New Roman"/>
                      <w:sz w:val="16"/>
                      <w:szCs w:val="16"/>
                    </w:rPr>
                    <w:t>0.000,00</w:t>
                  </w:r>
                </w:p>
              </w:tc>
              <w:tc>
                <w:tcPr>
                  <w:tcW w:w="1134" w:type="dxa"/>
                </w:tcPr>
                <w:p w14:paraId="76184D33" w14:textId="161FDFFF" w:rsidR="008C0E60" w:rsidRPr="00B5006E" w:rsidRDefault="00F45752" w:rsidP="00E94A0D">
                  <w:pPr>
                    <w:jc w:val="center"/>
                    <w:rPr>
                      <w:rFonts w:ascii="Times New Roman" w:hAnsi="Times New Roman" w:cs="Times New Roman"/>
                      <w:sz w:val="16"/>
                      <w:szCs w:val="16"/>
                    </w:rPr>
                  </w:pPr>
                  <w:r>
                    <w:rPr>
                      <w:rFonts w:ascii="Times New Roman" w:hAnsi="Times New Roman" w:cs="Times New Roman"/>
                      <w:sz w:val="16"/>
                      <w:szCs w:val="16"/>
                    </w:rPr>
                    <w:t>3</w:t>
                  </w:r>
                  <w:r w:rsidR="00EC6327">
                    <w:rPr>
                      <w:rFonts w:ascii="Times New Roman" w:hAnsi="Times New Roman" w:cs="Times New Roman"/>
                      <w:sz w:val="16"/>
                      <w:szCs w:val="16"/>
                    </w:rPr>
                    <w:t>00.000,00</w:t>
                  </w:r>
                </w:p>
              </w:tc>
              <w:tc>
                <w:tcPr>
                  <w:tcW w:w="1417" w:type="dxa"/>
                </w:tcPr>
                <w:p w14:paraId="1D5681A2" w14:textId="559BA4AF" w:rsidR="008C0E60" w:rsidRPr="00B5006E" w:rsidRDefault="00F45752" w:rsidP="00E94A0D">
                  <w:pPr>
                    <w:jc w:val="center"/>
                    <w:rPr>
                      <w:rFonts w:ascii="Times New Roman" w:hAnsi="Times New Roman" w:cs="Times New Roman"/>
                      <w:sz w:val="16"/>
                      <w:szCs w:val="16"/>
                    </w:rPr>
                  </w:pPr>
                  <w:r>
                    <w:rPr>
                      <w:rFonts w:ascii="Times New Roman" w:hAnsi="Times New Roman" w:cs="Times New Roman"/>
                      <w:sz w:val="16"/>
                      <w:szCs w:val="16"/>
                    </w:rPr>
                    <w:t>3</w:t>
                  </w:r>
                  <w:r w:rsidR="00EC6327">
                    <w:rPr>
                      <w:rFonts w:ascii="Times New Roman" w:hAnsi="Times New Roman" w:cs="Times New Roman"/>
                      <w:sz w:val="16"/>
                      <w:szCs w:val="16"/>
                    </w:rPr>
                    <w:t>00.000,00</w:t>
                  </w:r>
                </w:p>
              </w:tc>
              <w:tc>
                <w:tcPr>
                  <w:tcW w:w="1134" w:type="dxa"/>
                </w:tcPr>
                <w:p w14:paraId="1AB7F11B" w14:textId="26FF1ECC" w:rsidR="008C0E60" w:rsidRPr="00B5006E" w:rsidRDefault="002D6D8A" w:rsidP="00E94A0D">
                  <w:pPr>
                    <w:jc w:val="center"/>
                    <w:rPr>
                      <w:rFonts w:ascii="Times New Roman" w:hAnsi="Times New Roman" w:cs="Times New Roman"/>
                      <w:sz w:val="16"/>
                      <w:szCs w:val="16"/>
                    </w:rPr>
                  </w:pPr>
                  <w:r>
                    <w:rPr>
                      <w:rFonts w:ascii="Times New Roman" w:hAnsi="Times New Roman" w:cs="Times New Roman"/>
                      <w:sz w:val="16"/>
                      <w:szCs w:val="16"/>
                    </w:rPr>
                    <w:t>1.3</w:t>
                  </w:r>
                  <w:r w:rsidR="006F1ED9">
                    <w:rPr>
                      <w:rFonts w:ascii="Times New Roman" w:hAnsi="Times New Roman" w:cs="Times New Roman"/>
                      <w:sz w:val="16"/>
                      <w:szCs w:val="16"/>
                    </w:rPr>
                    <w:t>00.000,00</w:t>
                  </w:r>
                </w:p>
              </w:tc>
            </w:tr>
            <w:tr w:rsidR="00043650" w:rsidRPr="00B5006E" w14:paraId="209D36D5" w14:textId="77777777" w:rsidTr="008C0E60">
              <w:tc>
                <w:tcPr>
                  <w:tcW w:w="310" w:type="dxa"/>
                </w:tcPr>
                <w:p w14:paraId="0F686E79" w14:textId="4A4D5235" w:rsidR="00043650" w:rsidRDefault="00043650" w:rsidP="00E94A0D">
                  <w:pPr>
                    <w:jc w:val="both"/>
                    <w:rPr>
                      <w:rFonts w:ascii="Times New Roman" w:hAnsi="Times New Roman" w:cs="Times New Roman"/>
                      <w:sz w:val="16"/>
                      <w:szCs w:val="16"/>
                    </w:rPr>
                  </w:pPr>
                  <w:r>
                    <w:rPr>
                      <w:rFonts w:ascii="Times New Roman" w:hAnsi="Times New Roman" w:cs="Times New Roman"/>
                      <w:sz w:val="16"/>
                      <w:szCs w:val="16"/>
                    </w:rPr>
                    <w:t>2</w:t>
                  </w:r>
                </w:p>
              </w:tc>
              <w:tc>
                <w:tcPr>
                  <w:tcW w:w="992" w:type="dxa"/>
                </w:tcPr>
                <w:p w14:paraId="3462DB52" w14:textId="44117505" w:rsidR="00043650" w:rsidRDefault="00F45752" w:rsidP="00E94A0D">
                  <w:pPr>
                    <w:jc w:val="center"/>
                    <w:rPr>
                      <w:rFonts w:ascii="Times New Roman" w:hAnsi="Times New Roman" w:cs="Times New Roman"/>
                      <w:sz w:val="16"/>
                      <w:szCs w:val="16"/>
                    </w:rPr>
                  </w:pPr>
                  <w:r>
                    <w:rPr>
                      <w:rFonts w:ascii="Times New Roman" w:hAnsi="Times New Roman" w:cs="Times New Roman"/>
                      <w:sz w:val="16"/>
                      <w:szCs w:val="16"/>
                    </w:rPr>
                    <w:t>3</w:t>
                  </w:r>
                  <w:r w:rsidR="00043650">
                    <w:rPr>
                      <w:rFonts w:ascii="Times New Roman" w:hAnsi="Times New Roman" w:cs="Times New Roman"/>
                      <w:sz w:val="16"/>
                      <w:szCs w:val="16"/>
                    </w:rPr>
                    <w:t>00.000,00</w:t>
                  </w:r>
                </w:p>
              </w:tc>
              <w:tc>
                <w:tcPr>
                  <w:tcW w:w="1276" w:type="dxa"/>
                </w:tcPr>
                <w:p w14:paraId="4F849794" w14:textId="13B472C6" w:rsidR="00043650" w:rsidRDefault="00F45752" w:rsidP="00E94A0D">
                  <w:pPr>
                    <w:jc w:val="center"/>
                    <w:rPr>
                      <w:rFonts w:ascii="Times New Roman" w:hAnsi="Times New Roman" w:cs="Times New Roman"/>
                      <w:sz w:val="16"/>
                      <w:szCs w:val="16"/>
                    </w:rPr>
                  </w:pPr>
                  <w:r>
                    <w:rPr>
                      <w:rFonts w:ascii="Times New Roman" w:hAnsi="Times New Roman" w:cs="Times New Roman"/>
                      <w:sz w:val="16"/>
                      <w:szCs w:val="16"/>
                    </w:rPr>
                    <w:t>3</w:t>
                  </w:r>
                  <w:r w:rsidR="00043650">
                    <w:rPr>
                      <w:rFonts w:ascii="Times New Roman" w:hAnsi="Times New Roman" w:cs="Times New Roman"/>
                      <w:sz w:val="16"/>
                      <w:szCs w:val="16"/>
                    </w:rPr>
                    <w:t>50.000,00</w:t>
                  </w:r>
                </w:p>
              </w:tc>
              <w:tc>
                <w:tcPr>
                  <w:tcW w:w="1276" w:type="dxa"/>
                </w:tcPr>
                <w:p w14:paraId="2CB7EAD9" w14:textId="5295F266" w:rsidR="00043650" w:rsidRDefault="00F726AC" w:rsidP="00E94A0D">
                  <w:pPr>
                    <w:jc w:val="center"/>
                    <w:rPr>
                      <w:rFonts w:ascii="Times New Roman" w:hAnsi="Times New Roman" w:cs="Times New Roman"/>
                      <w:sz w:val="16"/>
                      <w:szCs w:val="16"/>
                    </w:rPr>
                  </w:pPr>
                  <w:r>
                    <w:rPr>
                      <w:rFonts w:ascii="Times New Roman" w:hAnsi="Times New Roman" w:cs="Times New Roman"/>
                      <w:sz w:val="16"/>
                      <w:szCs w:val="16"/>
                    </w:rPr>
                    <w:t>35</w:t>
                  </w:r>
                  <w:r w:rsidR="00043650">
                    <w:rPr>
                      <w:rFonts w:ascii="Times New Roman" w:hAnsi="Times New Roman" w:cs="Times New Roman"/>
                      <w:sz w:val="16"/>
                      <w:szCs w:val="16"/>
                    </w:rPr>
                    <w:t>0.000,00</w:t>
                  </w:r>
                </w:p>
              </w:tc>
              <w:tc>
                <w:tcPr>
                  <w:tcW w:w="1134" w:type="dxa"/>
                </w:tcPr>
                <w:p w14:paraId="26B957C2" w14:textId="3BF51210" w:rsidR="00043650" w:rsidRDefault="00F726AC" w:rsidP="00E94A0D">
                  <w:pPr>
                    <w:jc w:val="center"/>
                    <w:rPr>
                      <w:rFonts w:ascii="Times New Roman" w:hAnsi="Times New Roman" w:cs="Times New Roman"/>
                      <w:sz w:val="16"/>
                      <w:szCs w:val="16"/>
                    </w:rPr>
                  </w:pPr>
                  <w:r>
                    <w:rPr>
                      <w:rFonts w:ascii="Times New Roman" w:hAnsi="Times New Roman" w:cs="Times New Roman"/>
                      <w:sz w:val="16"/>
                      <w:szCs w:val="16"/>
                    </w:rPr>
                    <w:t>4</w:t>
                  </w:r>
                  <w:r w:rsidR="00043650">
                    <w:rPr>
                      <w:rFonts w:ascii="Times New Roman" w:hAnsi="Times New Roman" w:cs="Times New Roman"/>
                      <w:sz w:val="16"/>
                      <w:szCs w:val="16"/>
                    </w:rPr>
                    <w:t>00.000,00</w:t>
                  </w:r>
                </w:p>
              </w:tc>
              <w:tc>
                <w:tcPr>
                  <w:tcW w:w="1417" w:type="dxa"/>
                </w:tcPr>
                <w:p w14:paraId="2F68678C" w14:textId="1F076826" w:rsidR="00043650" w:rsidRDefault="00F726AC" w:rsidP="00E94A0D">
                  <w:pPr>
                    <w:jc w:val="center"/>
                    <w:rPr>
                      <w:rFonts w:ascii="Times New Roman" w:hAnsi="Times New Roman" w:cs="Times New Roman"/>
                      <w:sz w:val="16"/>
                      <w:szCs w:val="16"/>
                    </w:rPr>
                  </w:pPr>
                  <w:r>
                    <w:rPr>
                      <w:rFonts w:ascii="Times New Roman" w:hAnsi="Times New Roman" w:cs="Times New Roman"/>
                      <w:sz w:val="16"/>
                      <w:szCs w:val="16"/>
                    </w:rPr>
                    <w:t>4</w:t>
                  </w:r>
                  <w:r w:rsidR="00043650">
                    <w:rPr>
                      <w:rFonts w:ascii="Times New Roman" w:hAnsi="Times New Roman" w:cs="Times New Roman"/>
                      <w:sz w:val="16"/>
                      <w:szCs w:val="16"/>
                    </w:rPr>
                    <w:t>00.000,00</w:t>
                  </w:r>
                </w:p>
              </w:tc>
              <w:tc>
                <w:tcPr>
                  <w:tcW w:w="1134" w:type="dxa"/>
                </w:tcPr>
                <w:p w14:paraId="535936EE" w14:textId="2483CCDD" w:rsidR="00043650" w:rsidRDefault="00A4107B" w:rsidP="00E94A0D">
                  <w:pPr>
                    <w:jc w:val="center"/>
                    <w:rPr>
                      <w:rFonts w:ascii="Times New Roman" w:hAnsi="Times New Roman" w:cs="Times New Roman"/>
                      <w:sz w:val="16"/>
                      <w:szCs w:val="16"/>
                    </w:rPr>
                  </w:pPr>
                  <w:r>
                    <w:rPr>
                      <w:rFonts w:ascii="Times New Roman" w:hAnsi="Times New Roman" w:cs="Times New Roman"/>
                      <w:sz w:val="16"/>
                      <w:szCs w:val="16"/>
                    </w:rPr>
                    <w:t>1.8</w:t>
                  </w:r>
                  <w:r w:rsidR="00043650">
                    <w:rPr>
                      <w:rFonts w:ascii="Times New Roman" w:hAnsi="Times New Roman" w:cs="Times New Roman"/>
                      <w:sz w:val="16"/>
                      <w:szCs w:val="16"/>
                    </w:rPr>
                    <w:t>00.000,00</w:t>
                  </w:r>
                </w:p>
              </w:tc>
            </w:tr>
            <w:tr w:rsidR="00043650" w:rsidRPr="00B5006E" w14:paraId="1E60DAB5" w14:textId="77777777" w:rsidTr="008C0E60">
              <w:tc>
                <w:tcPr>
                  <w:tcW w:w="310" w:type="dxa"/>
                </w:tcPr>
                <w:p w14:paraId="443C9C38" w14:textId="252FE6AA" w:rsidR="00043650" w:rsidRPr="00B5006E" w:rsidRDefault="00043650" w:rsidP="00E94A0D">
                  <w:pPr>
                    <w:jc w:val="both"/>
                    <w:rPr>
                      <w:rFonts w:ascii="Times New Roman" w:hAnsi="Times New Roman" w:cs="Times New Roman"/>
                      <w:sz w:val="16"/>
                      <w:szCs w:val="16"/>
                    </w:rPr>
                  </w:pPr>
                  <w:r>
                    <w:rPr>
                      <w:rFonts w:ascii="Times New Roman" w:hAnsi="Times New Roman" w:cs="Times New Roman"/>
                      <w:sz w:val="16"/>
                      <w:szCs w:val="16"/>
                    </w:rPr>
                    <w:t>3</w:t>
                  </w:r>
                </w:p>
              </w:tc>
              <w:tc>
                <w:tcPr>
                  <w:tcW w:w="992" w:type="dxa"/>
                </w:tcPr>
                <w:p w14:paraId="046FEC38" w14:textId="2C8C3E8C" w:rsidR="00043650" w:rsidRPr="00B5006E" w:rsidRDefault="00043650" w:rsidP="00E94A0D">
                  <w:pPr>
                    <w:jc w:val="center"/>
                    <w:rPr>
                      <w:rFonts w:ascii="Times New Roman" w:hAnsi="Times New Roman" w:cs="Times New Roman"/>
                      <w:sz w:val="16"/>
                      <w:szCs w:val="16"/>
                    </w:rPr>
                  </w:pPr>
                  <w:r>
                    <w:rPr>
                      <w:rFonts w:ascii="Times New Roman" w:hAnsi="Times New Roman" w:cs="Times New Roman"/>
                      <w:sz w:val="16"/>
                      <w:szCs w:val="16"/>
                    </w:rPr>
                    <w:t>50.000,00</w:t>
                  </w:r>
                </w:p>
              </w:tc>
              <w:tc>
                <w:tcPr>
                  <w:tcW w:w="1276" w:type="dxa"/>
                </w:tcPr>
                <w:p w14:paraId="54C5D5FE" w14:textId="7C3CFDAD" w:rsidR="00043650" w:rsidRPr="00B5006E" w:rsidRDefault="00043650" w:rsidP="00E94A0D">
                  <w:pPr>
                    <w:jc w:val="center"/>
                    <w:rPr>
                      <w:rFonts w:ascii="Times New Roman" w:hAnsi="Times New Roman" w:cs="Times New Roman"/>
                      <w:sz w:val="16"/>
                      <w:szCs w:val="16"/>
                    </w:rPr>
                  </w:pPr>
                  <w:r>
                    <w:rPr>
                      <w:rFonts w:ascii="Times New Roman" w:hAnsi="Times New Roman" w:cs="Times New Roman"/>
                      <w:sz w:val="16"/>
                      <w:szCs w:val="16"/>
                    </w:rPr>
                    <w:t>50.000,00</w:t>
                  </w:r>
                </w:p>
              </w:tc>
              <w:tc>
                <w:tcPr>
                  <w:tcW w:w="1276" w:type="dxa"/>
                </w:tcPr>
                <w:p w14:paraId="44AF4D36" w14:textId="0CAF12EC" w:rsidR="00043650" w:rsidRPr="00B5006E" w:rsidRDefault="00043650" w:rsidP="00E94A0D">
                  <w:pPr>
                    <w:jc w:val="center"/>
                    <w:rPr>
                      <w:rFonts w:ascii="Times New Roman" w:hAnsi="Times New Roman" w:cs="Times New Roman"/>
                      <w:sz w:val="16"/>
                      <w:szCs w:val="16"/>
                    </w:rPr>
                  </w:pPr>
                  <w:r>
                    <w:rPr>
                      <w:rFonts w:ascii="Times New Roman" w:hAnsi="Times New Roman" w:cs="Times New Roman"/>
                      <w:sz w:val="16"/>
                      <w:szCs w:val="16"/>
                    </w:rPr>
                    <w:t>70.000,00</w:t>
                  </w:r>
                </w:p>
              </w:tc>
              <w:tc>
                <w:tcPr>
                  <w:tcW w:w="1134" w:type="dxa"/>
                </w:tcPr>
                <w:p w14:paraId="1431E597" w14:textId="3C4519BF" w:rsidR="00043650" w:rsidRPr="00B5006E" w:rsidRDefault="00043650" w:rsidP="00E94A0D">
                  <w:pPr>
                    <w:jc w:val="center"/>
                    <w:rPr>
                      <w:rFonts w:ascii="Times New Roman" w:hAnsi="Times New Roman" w:cs="Times New Roman"/>
                      <w:sz w:val="16"/>
                      <w:szCs w:val="16"/>
                    </w:rPr>
                  </w:pPr>
                  <w:r>
                    <w:rPr>
                      <w:rFonts w:ascii="Times New Roman" w:hAnsi="Times New Roman" w:cs="Times New Roman"/>
                      <w:sz w:val="16"/>
                      <w:szCs w:val="16"/>
                    </w:rPr>
                    <w:t>70.000,00</w:t>
                  </w:r>
                </w:p>
              </w:tc>
              <w:tc>
                <w:tcPr>
                  <w:tcW w:w="1417" w:type="dxa"/>
                </w:tcPr>
                <w:p w14:paraId="59418495" w14:textId="78A2643E" w:rsidR="00043650" w:rsidRPr="00B5006E" w:rsidRDefault="00043650" w:rsidP="00E94A0D">
                  <w:pPr>
                    <w:jc w:val="center"/>
                    <w:rPr>
                      <w:rFonts w:ascii="Times New Roman" w:hAnsi="Times New Roman" w:cs="Times New Roman"/>
                      <w:sz w:val="16"/>
                      <w:szCs w:val="16"/>
                    </w:rPr>
                  </w:pPr>
                  <w:r>
                    <w:rPr>
                      <w:rFonts w:ascii="Times New Roman" w:hAnsi="Times New Roman" w:cs="Times New Roman"/>
                      <w:sz w:val="16"/>
                      <w:szCs w:val="16"/>
                    </w:rPr>
                    <w:t>70.000,00</w:t>
                  </w:r>
                </w:p>
              </w:tc>
              <w:tc>
                <w:tcPr>
                  <w:tcW w:w="1134" w:type="dxa"/>
                </w:tcPr>
                <w:p w14:paraId="418820D8" w14:textId="7D019B8B" w:rsidR="00043650" w:rsidRPr="00B5006E" w:rsidRDefault="00043650" w:rsidP="00E94A0D">
                  <w:pPr>
                    <w:jc w:val="center"/>
                    <w:rPr>
                      <w:rFonts w:ascii="Times New Roman" w:hAnsi="Times New Roman" w:cs="Times New Roman"/>
                      <w:sz w:val="16"/>
                      <w:szCs w:val="16"/>
                    </w:rPr>
                  </w:pPr>
                  <w:r>
                    <w:rPr>
                      <w:rFonts w:ascii="Times New Roman" w:hAnsi="Times New Roman" w:cs="Times New Roman"/>
                      <w:sz w:val="16"/>
                      <w:szCs w:val="16"/>
                    </w:rPr>
                    <w:t>310.000,00</w:t>
                  </w:r>
                </w:p>
              </w:tc>
            </w:tr>
          </w:tbl>
          <w:p w14:paraId="5F5F0895" w14:textId="4ABEAFF9" w:rsidR="009B4ED5" w:rsidRPr="00895810" w:rsidRDefault="00421852" w:rsidP="00AE0E3D">
            <w:pPr>
              <w:spacing w:before="120" w:after="120"/>
              <w:jc w:val="both"/>
              <w:rPr>
                <w:rFonts w:ascii="Times New Roman" w:hAnsi="Times New Roman" w:cs="Times New Roman"/>
                <w:sz w:val="16"/>
                <w:szCs w:val="16"/>
              </w:rPr>
            </w:pPr>
            <w:r>
              <w:rPr>
                <w:rFonts w:ascii="Times New Roman" w:hAnsi="Times New Roman" w:cs="Times New Roman"/>
                <w:sz w:val="16"/>
                <w:szCs w:val="16"/>
              </w:rPr>
              <w:t xml:space="preserve">Poz. 1. </w:t>
            </w:r>
            <w:r w:rsidR="009B4ED5" w:rsidRPr="00895810">
              <w:rPr>
                <w:rFonts w:ascii="Times New Roman" w:hAnsi="Times New Roman" w:cs="Times New Roman"/>
                <w:sz w:val="16"/>
                <w:szCs w:val="16"/>
              </w:rPr>
              <w:t>Koszty przeprowadzenia oblotów potwierdzających poprawność działania systemu wraz z niezbędnymi ekspertyzami – szacowany koszt średnioroczny to ok</w:t>
            </w:r>
            <w:r w:rsidR="00AE0E3D">
              <w:rPr>
                <w:rFonts w:ascii="Times New Roman" w:hAnsi="Times New Roman" w:cs="Times New Roman"/>
                <w:sz w:val="16"/>
                <w:szCs w:val="16"/>
              </w:rPr>
              <w:t>.</w:t>
            </w:r>
            <w:r w:rsidR="009B4ED5" w:rsidRPr="00895810">
              <w:rPr>
                <w:rFonts w:ascii="Times New Roman" w:hAnsi="Times New Roman" w:cs="Times New Roman"/>
                <w:sz w:val="16"/>
                <w:szCs w:val="16"/>
              </w:rPr>
              <w:t xml:space="preserve"> </w:t>
            </w:r>
            <w:r w:rsidR="003602F9" w:rsidRPr="00895810">
              <w:rPr>
                <w:rFonts w:ascii="Times New Roman" w:hAnsi="Times New Roman" w:cs="Times New Roman"/>
                <w:sz w:val="16"/>
                <w:szCs w:val="16"/>
              </w:rPr>
              <w:t>260</w:t>
            </w:r>
            <w:r w:rsidR="009B4ED5" w:rsidRPr="00895810">
              <w:rPr>
                <w:rFonts w:ascii="Times New Roman" w:hAnsi="Times New Roman" w:cs="Times New Roman"/>
                <w:sz w:val="16"/>
                <w:szCs w:val="16"/>
              </w:rPr>
              <w:t xml:space="preserve"> ty</w:t>
            </w:r>
            <w:r w:rsidR="00AE0E3D">
              <w:rPr>
                <w:rFonts w:ascii="Times New Roman" w:hAnsi="Times New Roman" w:cs="Times New Roman"/>
                <w:sz w:val="16"/>
                <w:szCs w:val="16"/>
              </w:rPr>
              <w:t>s</w:t>
            </w:r>
            <w:r w:rsidR="009B4ED5" w:rsidRPr="00895810">
              <w:rPr>
                <w:rFonts w:ascii="Times New Roman" w:hAnsi="Times New Roman" w:cs="Times New Roman"/>
                <w:sz w:val="16"/>
                <w:szCs w:val="16"/>
              </w:rPr>
              <w:t xml:space="preserve">. </w:t>
            </w:r>
            <w:r w:rsidR="000C6AD5">
              <w:rPr>
                <w:rFonts w:ascii="Times New Roman" w:hAnsi="Times New Roman" w:cs="Times New Roman"/>
                <w:sz w:val="16"/>
                <w:szCs w:val="16"/>
              </w:rPr>
              <w:t>zł</w:t>
            </w:r>
            <w:r w:rsidR="009B4ED5" w:rsidRPr="00895810">
              <w:rPr>
                <w:rFonts w:ascii="Times New Roman" w:hAnsi="Times New Roman" w:cs="Times New Roman"/>
                <w:sz w:val="16"/>
                <w:szCs w:val="16"/>
              </w:rPr>
              <w:t xml:space="preserve"> - koszty zostały oszacowane na postawie </w:t>
            </w:r>
            <w:r w:rsidR="00AE0E3D">
              <w:rPr>
                <w:rFonts w:ascii="Times New Roman" w:hAnsi="Times New Roman" w:cs="Times New Roman"/>
                <w:sz w:val="16"/>
                <w:szCs w:val="16"/>
              </w:rPr>
              <w:t>planowanej liczby</w:t>
            </w:r>
            <w:r w:rsidR="009B4ED5" w:rsidRPr="00895810">
              <w:rPr>
                <w:rFonts w:ascii="Times New Roman" w:hAnsi="Times New Roman" w:cs="Times New Roman"/>
                <w:sz w:val="16"/>
                <w:szCs w:val="16"/>
              </w:rPr>
              <w:t xml:space="preserve"> oblotów, liczby przeprowadzanych w danym roku e</w:t>
            </w:r>
            <w:r w:rsidR="00AE0E3D">
              <w:rPr>
                <w:rFonts w:ascii="Times New Roman" w:hAnsi="Times New Roman" w:cs="Times New Roman"/>
                <w:sz w:val="16"/>
                <w:szCs w:val="16"/>
              </w:rPr>
              <w:t>kspertyz oraz ich cen rynkowych.</w:t>
            </w:r>
          </w:p>
          <w:p w14:paraId="34A2AF75" w14:textId="06EA6872" w:rsidR="00A4107B" w:rsidRPr="00895810" w:rsidRDefault="00895810" w:rsidP="00AE0E3D">
            <w:pPr>
              <w:spacing w:before="120" w:after="120"/>
              <w:jc w:val="both"/>
              <w:rPr>
                <w:rFonts w:ascii="Times New Roman" w:hAnsi="Times New Roman" w:cs="Times New Roman"/>
                <w:sz w:val="16"/>
                <w:szCs w:val="16"/>
              </w:rPr>
            </w:pPr>
            <w:r>
              <w:rPr>
                <w:rFonts w:ascii="Times New Roman" w:hAnsi="Times New Roman" w:cs="Times New Roman"/>
                <w:sz w:val="16"/>
                <w:szCs w:val="16"/>
              </w:rPr>
              <w:t xml:space="preserve">Poz. 2. </w:t>
            </w:r>
            <w:r w:rsidR="00A4107B" w:rsidRPr="00895810">
              <w:rPr>
                <w:rFonts w:ascii="Times New Roman" w:hAnsi="Times New Roman" w:cs="Times New Roman"/>
                <w:sz w:val="16"/>
                <w:szCs w:val="16"/>
              </w:rPr>
              <w:t>Koszty pozyskania danych niezbędnych do prawi</w:t>
            </w:r>
            <w:r w:rsidR="00AE0E3D">
              <w:rPr>
                <w:rFonts w:ascii="Times New Roman" w:hAnsi="Times New Roman" w:cs="Times New Roman"/>
                <w:sz w:val="16"/>
                <w:szCs w:val="16"/>
              </w:rPr>
              <w:t xml:space="preserve">dłowego funkcjonowania systemu, </w:t>
            </w:r>
            <w:r w:rsidR="00A4107B" w:rsidRPr="00895810">
              <w:rPr>
                <w:rFonts w:ascii="Times New Roman" w:hAnsi="Times New Roman" w:cs="Times New Roman"/>
                <w:sz w:val="16"/>
                <w:szCs w:val="16"/>
              </w:rPr>
              <w:t>w tym głównie danych meteorologicznych</w:t>
            </w:r>
            <w:r w:rsidR="007D163C">
              <w:rPr>
                <w:rFonts w:ascii="Times New Roman" w:hAnsi="Times New Roman" w:cs="Times New Roman"/>
                <w:sz w:val="16"/>
                <w:szCs w:val="16"/>
              </w:rPr>
              <w:t xml:space="preserve"> oraz kartograficznych</w:t>
            </w:r>
            <w:r w:rsidR="00A4107B" w:rsidRPr="00895810">
              <w:rPr>
                <w:rFonts w:ascii="Times New Roman" w:hAnsi="Times New Roman" w:cs="Times New Roman"/>
                <w:sz w:val="16"/>
                <w:szCs w:val="16"/>
              </w:rPr>
              <w:t xml:space="preserve"> – szacowany koszt średnioroczny to ok. 360 ty</w:t>
            </w:r>
            <w:r w:rsidR="00AE0E3D">
              <w:rPr>
                <w:rFonts w:ascii="Times New Roman" w:hAnsi="Times New Roman" w:cs="Times New Roman"/>
                <w:sz w:val="16"/>
                <w:szCs w:val="16"/>
              </w:rPr>
              <w:t>s</w:t>
            </w:r>
            <w:r w:rsidR="00A4107B" w:rsidRPr="00895810">
              <w:rPr>
                <w:rFonts w:ascii="Times New Roman" w:hAnsi="Times New Roman" w:cs="Times New Roman"/>
                <w:sz w:val="16"/>
                <w:szCs w:val="16"/>
              </w:rPr>
              <w:t xml:space="preserve">. </w:t>
            </w:r>
            <w:r w:rsidR="000C6AD5">
              <w:rPr>
                <w:rFonts w:ascii="Times New Roman" w:hAnsi="Times New Roman" w:cs="Times New Roman"/>
                <w:sz w:val="16"/>
                <w:szCs w:val="16"/>
              </w:rPr>
              <w:t>zł</w:t>
            </w:r>
            <w:r w:rsidR="00A4107B" w:rsidRPr="00895810">
              <w:rPr>
                <w:rFonts w:ascii="Times New Roman" w:hAnsi="Times New Roman" w:cs="Times New Roman"/>
                <w:sz w:val="16"/>
                <w:szCs w:val="16"/>
              </w:rPr>
              <w:t xml:space="preserve"> - koszty zostały oszacowane na postawie planowanej ilości pozyskania danych oraz ich cen rynkowych – szacowanie w oparciu o ceny ofertowe składane w ramach realizacji projektu</w:t>
            </w:r>
            <w:r w:rsidR="00AE0E3D">
              <w:rPr>
                <w:rFonts w:ascii="Times New Roman" w:hAnsi="Times New Roman" w:cs="Times New Roman"/>
                <w:sz w:val="16"/>
                <w:szCs w:val="16"/>
              </w:rPr>
              <w:t>.</w:t>
            </w:r>
          </w:p>
          <w:p w14:paraId="673CFCEC" w14:textId="65523A3B" w:rsidR="00C34591" w:rsidRPr="00B5006E" w:rsidRDefault="00895810" w:rsidP="00AE0E3D">
            <w:pPr>
              <w:spacing w:before="120" w:after="120"/>
              <w:jc w:val="both"/>
              <w:rPr>
                <w:rFonts w:ascii="Times New Roman" w:hAnsi="Times New Roman" w:cs="Times New Roman"/>
                <w:sz w:val="16"/>
                <w:szCs w:val="16"/>
              </w:rPr>
            </w:pPr>
            <w:r w:rsidRPr="0005498C">
              <w:rPr>
                <w:rFonts w:ascii="Times New Roman" w:hAnsi="Times New Roman" w:cs="Times New Roman"/>
                <w:sz w:val="16"/>
                <w:szCs w:val="16"/>
              </w:rPr>
              <w:t xml:space="preserve">Poz. 3. </w:t>
            </w:r>
            <w:r w:rsidR="00421852" w:rsidRPr="0005498C">
              <w:rPr>
                <w:rFonts w:ascii="Times New Roman" w:hAnsi="Times New Roman" w:cs="Times New Roman"/>
                <w:sz w:val="16"/>
                <w:szCs w:val="16"/>
              </w:rPr>
              <w:t>Koszty</w:t>
            </w:r>
            <w:r w:rsidR="00631672" w:rsidRPr="0005498C">
              <w:rPr>
                <w:rFonts w:ascii="Times New Roman" w:hAnsi="Times New Roman" w:cs="Times New Roman"/>
                <w:sz w:val="16"/>
                <w:szCs w:val="16"/>
              </w:rPr>
              <w:t xml:space="preserve"> utrzymania</w:t>
            </w:r>
            <w:r w:rsidR="0005498C" w:rsidRPr="0005498C">
              <w:rPr>
                <w:rFonts w:ascii="Times New Roman" w:hAnsi="Times New Roman" w:cs="Times New Roman"/>
                <w:sz w:val="16"/>
                <w:szCs w:val="16"/>
              </w:rPr>
              <w:t xml:space="preserve"> infrastruktury obejmujące m.in. koszty dzierżawy łączy, koszty najmu powierzchni pod infrastrukturę, koszty mediów, przeglądów, aktualizacji – szacuje się miesięczne koszty na poziomie 5</w:t>
            </w:r>
            <w:r w:rsidR="00B96EBA">
              <w:rPr>
                <w:rFonts w:ascii="Times New Roman" w:hAnsi="Times New Roman" w:cs="Times New Roman"/>
                <w:sz w:val="16"/>
                <w:szCs w:val="16"/>
              </w:rPr>
              <w:t>-6</w:t>
            </w:r>
            <w:r w:rsidR="0005498C" w:rsidRPr="0005498C">
              <w:rPr>
                <w:rFonts w:ascii="Times New Roman" w:hAnsi="Times New Roman" w:cs="Times New Roman"/>
                <w:sz w:val="16"/>
                <w:szCs w:val="16"/>
              </w:rPr>
              <w:t xml:space="preserve"> ty</w:t>
            </w:r>
            <w:r w:rsidR="00AE0E3D">
              <w:rPr>
                <w:rFonts w:ascii="Times New Roman" w:hAnsi="Times New Roman" w:cs="Times New Roman"/>
                <w:sz w:val="16"/>
                <w:szCs w:val="16"/>
              </w:rPr>
              <w:t>s. zł</w:t>
            </w:r>
            <w:r w:rsidR="0005498C" w:rsidRPr="0005498C">
              <w:rPr>
                <w:rFonts w:ascii="Times New Roman" w:hAnsi="Times New Roman" w:cs="Times New Roman"/>
                <w:sz w:val="16"/>
                <w:szCs w:val="16"/>
              </w:rPr>
              <w:t>.</w:t>
            </w:r>
          </w:p>
        </w:tc>
      </w:tr>
      <w:tr w:rsidR="00335979" w:rsidRPr="00B5006E" w14:paraId="4B33BE4E" w14:textId="77777777" w:rsidTr="00E643BD">
        <w:trPr>
          <w:trHeight w:val="2694"/>
        </w:trPr>
        <w:tc>
          <w:tcPr>
            <w:tcW w:w="1425" w:type="dxa"/>
            <w:shd w:val="clear" w:color="auto" w:fill="D9D9D9" w:themeFill="background1" w:themeFillShade="D9"/>
            <w:vAlign w:val="center"/>
          </w:tcPr>
          <w:p w14:paraId="3FBE2D8B" w14:textId="62E3C7F2" w:rsidR="009A1121" w:rsidRPr="00694876" w:rsidRDefault="009A1121" w:rsidP="009A1121">
            <w:pPr>
              <w:jc w:val="both"/>
              <w:rPr>
                <w:rFonts w:ascii="Times New Roman" w:hAnsi="Times New Roman" w:cs="Times New Roman"/>
                <w:b/>
                <w:bCs/>
                <w:sz w:val="16"/>
                <w:szCs w:val="16"/>
              </w:rPr>
            </w:pPr>
            <w:r w:rsidRPr="00694876">
              <w:rPr>
                <w:rFonts w:ascii="Times New Roman" w:hAnsi="Times New Roman" w:cs="Times New Roman"/>
                <w:b/>
                <w:bCs/>
                <w:sz w:val="16"/>
                <w:szCs w:val="16"/>
              </w:rPr>
              <w:t>Wydatki poniesione na pokrycie kosztów pośrednich</w:t>
            </w:r>
          </w:p>
        </w:tc>
        <w:tc>
          <w:tcPr>
            <w:tcW w:w="1269" w:type="dxa"/>
            <w:shd w:val="clear" w:color="auto" w:fill="D9D9D9" w:themeFill="background1" w:themeFillShade="D9"/>
            <w:vAlign w:val="center"/>
          </w:tcPr>
          <w:p w14:paraId="7DE61318" w14:textId="77381417" w:rsidR="009A1121" w:rsidRPr="00694876" w:rsidRDefault="00423675" w:rsidP="00E15F33">
            <w:pPr>
              <w:jc w:val="center"/>
              <w:rPr>
                <w:rFonts w:ascii="Times New Roman" w:hAnsi="Times New Roman" w:cs="Times New Roman"/>
                <w:sz w:val="16"/>
                <w:szCs w:val="16"/>
              </w:rPr>
            </w:pPr>
            <w:r w:rsidRPr="00694876">
              <w:rPr>
                <w:rFonts w:ascii="Times New Roman" w:hAnsi="Times New Roman" w:cs="Times New Roman"/>
                <w:b/>
                <w:bCs/>
                <w:sz w:val="16"/>
                <w:szCs w:val="16"/>
              </w:rPr>
              <w:t>990</w:t>
            </w:r>
            <w:r w:rsidR="00273EF0">
              <w:rPr>
                <w:rFonts w:ascii="Times New Roman" w:hAnsi="Times New Roman" w:cs="Times New Roman"/>
                <w:b/>
                <w:bCs/>
                <w:sz w:val="16"/>
                <w:szCs w:val="16"/>
              </w:rPr>
              <w:t>.</w:t>
            </w:r>
            <w:r w:rsidRPr="00694876">
              <w:rPr>
                <w:rFonts w:ascii="Times New Roman" w:hAnsi="Times New Roman" w:cs="Times New Roman"/>
                <w:b/>
                <w:bCs/>
                <w:sz w:val="16"/>
                <w:szCs w:val="16"/>
              </w:rPr>
              <w:t>000,00</w:t>
            </w:r>
          </w:p>
        </w:tc>
        <w:tc>
          <w:tcPr>
            <w:tcW w:w="7796" w:type="dxa"/>
            <w:shd w:val="clear" w:color="auto" w:fill="auto"/>
            <w:vAlign w:val="center"/>
          </w:tcPr>
          <w:p w14:paraId="74CD065B" w14:textId="635D0E47" w:rsidR="004F41EB" w:rsidRPr="001A4147" w:rsidRDefault="001727D2" w:rsidP="00AE0E3D">
            <w:pPr>
              <w:spacing w:before="120" w:after="120"/>
              <w:jc w:val="both"/>
              <w:rPr>
                <w:rFonts w:ascii="Times New Roman" w:hAnsi="Times New Roman" w:cs="Times New Roman"/>
                <w:sz w:val="16"/>
                <w:szCs w:val="16"/>
              </w:rPr>
            </w:pPr>
            <w:r w:rsidRPr="001A4147">
              <w:rPr>
                <w:rFonts w:ascii="Times New Roman" w:hAnsi="Times New Roman" w:cs="Times New Roman"/>
                <w:sz w:val="16"/>
                <w:szCs w:val="16"/>
              </w:rPr>
              <w:t xml:space="preserve">W okresie utrzymania </w:t>
            </w:r>
            <w:r w:rsidR="003A4BB9" w:rsidRPr="001A4147">
              <w:rPr>
                <w:rFonts w:ascii="Times New Roman" w:hAnsi="Times New Roman" w:cs="Times New Roman"/>
                <w:sz w:val="16"/>
                <w:szCs w:val="16"/>
              </w:rPr>
              <w:t xml:space="preserve">trwałości </w:t>
            </w:r>
            <w:r w:rsidRPr="001A4147">
              <w:rPr>
                <w:rFonts w:ascii="Times New Roman" w:hAnsi="Times New Roman" w:cs="Times New Roman"/>
                <w:sz w:val="16"/>
                <w:szCs w:val="16"/>
              </w:rPr>
              <w:t xml:space="preserve">projektu </w:t>
            </w:r>
            <w:r w:rsidR="00154BFA" w:rsidRPr="001A4147">
              <w:rPr>
                <w:rFonts w:ascii="Times New Roman" w:hAnsi="Times New Roman" w:cs="Times New Roman"/>
                <w:sz w:val="16"/>
                <w:szCs w:val="16"/>
              </w:rPr>
              <w:t xml:space="preserve">przewiduje się ponoszenie </w:t>
            </w:r>
            <w:r w:rsidR="00E15F33" w:rsidRPr="001A4147">
              <w:rPr>
                <w:rFonts w:ascii="Times New Roman" w:hAnsi="Times New Roman" w:cs="Times New Roman"/>
                <w:sz w:val="16"/>
                <w:szCs w:val="16"/>
              </w:rPr>
              <w:t>kosztów pośrednich</w:t>
            </w:r>
            <w:r w:rsidR="00154BFA" w:rsidRPr="001A4147">
              <w:rPr>
                <w:rFonts w:ascii="Times New Roman" w:hAnsi="Times New Roman" w:cs="Times New Roman"/>
                <w:sz w:val="16"/>
                <w:szCs w:val="16"/>
              </w:rPr>
              <w:t xml:space="preserve"> związanych z obsługą administracyjn</w:t>
            </w:r>
            <w:r w:rsidR="00FF00B4" w:rsidRPr="001A4147">
              <w:rPr>
                <w:rFonts w:ascii="Times New Roman" w:hAnsi="Times New Roman" w:cs="Times New Roman"/>
                <w:sz w:val="16"/>
                <w:szCs w:val="16"/>
              </w:rPr>
              <w:t>ą realizacji zadań związanych z funkcjonowaniem systemu zapewni</w:t>
            </w:r>
            <w:r w:rsidR="00A86360" w:rsidRPr="001A4147">
              <w:rPr>
                <w:rFonts w:ascii="Times New Roman" w:hAnsi="Times New Roman" w:cs="Times New Roman"/>
                <w:sz w:val="16"/>
                <w:szCs w:val="16"/>
              </w:rPr>
              <w:t>ającego usługi cyfrowe.</w:t>
            </w:r>
            <w:r w:rsidR="0086248B" w:rsidRPr="001A4147">
              <w:rPr>
                <w:rFonts w:ascii="Times New Roman" w:hAnsi="Times New Roman" w:cs="Times New Roman"/>
                <w:sz w:val="16"/>
                <w:szCs w:val="16"/>
              </w:rPr>
              <w:t xml:space="preserve"> Zaplanowano realizację zadań w ramach</w:t>
            </w:r>
            <w:r w:rsidR="007B2948" w:rsidRPr="001A4147">
              <w:rPr>
                <w:rFonts w:ascii="Times New Roman" w:hAnsi="Times New Roman" w:cs="Times New Roman"/>
                <w:sz w:val="16"/>
                <w:szCs w:val="16"/>
              </w:rPr>
              <w:t xml:space="preserve"> 1 etatu (dzielonego proporcjonalnie między pracowników </w:t>
            </w:r>
            <w:r w:rsidR="00DE3491" w:rsidRPr="001A4147">
              <w:rPr>
                <w:rFonts w:ascii="Times New Roman" w:hAnsi="Times New Roman" w:cs="Times New Roman"/>
                <w:sz w:val="16"/>
                <w:szCs w:val="16"/>
              </w:rPr>
              <w:t>wg pracochłonności zadań)</w:t>
            </w:r>
            <w:r w:rsidR="0086248B" w:rsidRPr="001A4147">
              <w:rPr>
                <w:rFonts w:ascii="Times New Roman" w:hAnsi="Times New Roman" w:cs="Times New Roman"/>
                <w:sz w:val="16"/>
                <w:szCs w:val="16"/>
              </w:rPr>
              <w:t xml:space="preserve">, którego koszt oszacowano w oparciu o stawki </w:t>
            </w:r>
            <w:r w:rsidR="009806F6" w:rsidRPr="001A4147">
              <w:rPr>
                <w:rFonts w:ascii="Times New Roman" w:hAnsi="Times New Roman" w:cs="Times New Roman"/>
                <w:sz w:val="16"/>
                <w:szCs w:val="16"/>
              </w:rPr>
              <w:t xml:space="preserve">wraz z kosztami pracodawcy </w:t>
            </w:r>
            <w:r w:rsidR="0086248B" w:rsidRPr="001A4147">
              <w:rPr>
                <w:rFonts w:ascii="Times New Roman" w:hAnsi="Times New Roman" w:cs="Times New Roman"/>
                <w:sz w:val="16"/>
                <w:szCs w:val="16"/>
              </w:rPr>
              <w:t xml:space="preserve">zgodne z </w:t>
            </w:r>
            <w:r w:rsidR="009806F6" w:rsidRPr="001A4147">
              <w:rPr>
                <w:rFonts w:ascii="Times New Roman" w:hAnsi="Times New Roman" w:cs="Times New Roman"/>
                <w:sz w:val="16"/>
                <w:szCs w:val="16"/>
              </w:rPr>
              <w:t>obowiązującym</w:t>
            </w:r>
            <w:r w:rsidR="002C1DD7">
              <w:rPr>
                <w:rFonts w:ascii="Times New Roman" w:hAnsi="Times New Roman" w:cs="Times New Roman"/>
                <w:sz w:val="16"/>
                <w:szCs w:val="16"/>
              </w:rPr>
              <w:t xml:space="preserve"> w</w:t>
            </w:r>
            <w:r w:rsidR="009806F6" w:rsidRPr="001A4147">
              <w:rPr>
                <w:rFonts w:ascii="Times New Roman" w:hAnsi="Times New Roman" w:cs="Times New Roman"/>
                <w:sz w:val="16"/>
                <w:szCs w:val="16"/>
              </w:rPr>
              <w:t xml:space="preserve"> </w:t>
            </w:r>
            <w:r w:rsidR="002C1DD7" w:rsidRPr="001A4147">
              <w:rPr>
                <w:rFonts w:ascii="Times New Roman" w:hAnsi="Times New Roman" w:cs="Times New Roman"/>
                <w:sz w:val="16"/>
                <w:szCs w:val="16"/>
              </w:rPr>
              <w:t>PAŻP</w:t>
            </w:r>
            <w:r w:rsidR="002C1DD7">
              <w:rPr>
                <w:rFonts w:ascii="Times New Roman" w:hAnsi="Times New Roman" w:cs="Times New Roman"/>
                <w:sz w:val="16"/>
                <w:szCs w:val="16"/>
              </w:rPr>
              <w:t xml:space="preserve"> r</w:t>
            </w:r>
            <w:r w:rsidR="0086248B" w:rsidRPr="001A4147">
              <w:rPr>
                <w:rFonts w:ascii="Times New Roman" w:hAnsi="Times New Roman" w:cs="Times New Roman"/>
                <w:sz w:val="16"/>
                <w:szCs w:val="16"/>
              </w:rPr>
              <w:t xml:space="preserve">egulaminem wynagradzania na </w:t>
            </w:r>
            <w:r w:rsidR="00AE0E3D">
              <w:rPr>
                <w:rFonts w:ascii="Times New Roman" w:hAnsi="Times New Roman" w:cs="Times New Roman"/>
                <w:sz w:val="16"/>
                <w:szCs w:val="16"/>
              </w:rPr>
              <w:t>ok. 200 tys. zł rocznie.</w:t>
            </w:r>
          </w:p>
          <w:tbl>
            <w:tblPr>
              <w:tblStyle w:val="Tabela-Siatka"/>
              <w:tblW w:w="0" w:type="auto"/>
              <w:tblLayout w:type="fixed"/>
              <w:tblLook w:val="04A0" w:firstRow="1" w:lastRow="0" w:firstColumn="1" w:lastColumn="0" w:noHBand="0" w:noVBand="1"/>
            </w:tblPr>
            <w:tblGrid>
              <w:gridCol w:w="1243"/>
              <w:gridCol w:w="1276"/>
              <w:gridCol w:w="1276"/>
              <w:gridCol w:w="1276"/>
              <w:gridCol w:w="1275"/>
              <w:gridCol w:w="1193"/>
            </w:tblGrid>
            <w:tr w:rsidR="004F41EB" w:rsidRPr="001A4147" w14:paraId="3291E1DC" w14:textId="77777777" w:rsidTr="008C0E60">
              <w:tc>
                <w:tcPr>
                  <w:tcW w:w="1243" w:type="dxa"/>
                  <w:shd w:val="clear" w:color="auto" w:fill="DBDBDB" w:themeFill="accent3" w:themeFillTint="66"/>
                  <w:vAlign w:val="center"/>
                </w:tcPr>
                <w:p w14:paraId="46701D03" w14:textId="77777777" w:rsidR="004F41EB" w:rsidRPr="001A4147" w:rsidRDefault="004F41EB" w:rsidP="006B36C0">
                  <w:pPr>
                    <w:jc w:val="center"/>
                    <w:rPr>
                      <w:rFonts w:ascii="Times New Roman" w:hAnsi="Times New Roman" w:cs="Times New Roman"/>
                      <w:sz w:val="16"/>
                      <w:szCs w:val="16"/>
                    </w:rPr>
                  </w:pPr>
                  <w:r w:rsidRPr="001A4147">
                    <w:rPr>
                      <w:rFonts w:ascii="Times New Roman" w:hAnsi="Times New Roman" w:cs="Times New Roman"/>
                      <w:b/>
                      <w:bCs/>
                      <w:sz w:val="16"/>
                      <w:szCs w:val="16"/>
                    </w:rPr>
                    <w:t>2024 r.</w:t>
                  </w:r>
                </w:p>
              </w:tc>
              <w:tc>
                <w:tcPr>
                  <w:tcW w:w="1276" w:type="dxa"/>
                  <w:shd w:val="clear" w:color="auto" w:fill="DBDBDB" w:themeFill="accent3" w:themeFillTint="66"/>
                  <w:vAlign w:val="center"/>
                </w:tcPr>
                <w:p w14:paraId="5615C7B1" w14:textId="77777777" w:rsidR="004F41EB" w:rsidRPr="001A4147" w:rsidRDefault="004F41EB" w:rsidP="006B36C0">
                  <w:pPr>
                    <w:jc w:val="center"/>
                    <w:rPr>
                      <w:rFonts w:ascii="Times New Roman" w:hAnsi="Times New Roman" w:cs="Times New Roman"/>
                      <w:sz w:val="16"/>
                      <w:szCs w:val="16"/>
                    </w:rPr>
                  </w:pPr>
                  <w:r w:rsidRPr="001A4147">
                    <w:rPr>
                      <w:rFonts w:ascii="Times New Roman" w:hAnsi="Times New Roman" w:cs="Times New Roman"/>
                      <w:b/>
                      <w:bCs/>
                      <w:sz w:val="16"/>
                      <w:szCs w:val="16"/>
                    </w:rPr>
                    <w:t>2025 r.</w:t>
                  </w:r>
                </w:p>
              </w:tc>
              <w:tc>
                <w:tcPr>
                  <w:tcW w:w="1276" w:type="dxa"/>
                  <w:shd w:val="clear" w:color="auto" w:fill="DBDBDB" w:themeFill="accent3" w:themeFillTint="66"/>
                  <w:vAlign w:val="center"/>
                </w:tcPr>
                <w:p w14:paraId="1C9AB5B5" w14:textId="77777777" w:rsidR="004F41EB" w:rsidRPr="001A4147" w:rsidRDefault="004F41EB" w:rsidP="006B36C0">
                  <w:pPr>
                    <w:jc w:val="center"/>
                    <w:rPr>
                      <w:rFonts w:ascii="Times New Roman" w:hAnsi="Times New Roman" w:cs="Times New Roman"/>
                      <w:sz w:val="16"/>
                      <w:szCs w:val="16"/>
                    </w:rPr>
                  </w:pPr>
                  <w:r w:rsidRPr="001A4147">
                    <w:rPr>
                      <w:rFonts w:ascii="Times New Roman" w:hAnsi="Times New Roman" w:cs="Times New Roman"/>
                      <w:b/>
                      <w:bCs/>
                      <w:sz w:val="16"/>
                      <w:szCs w:val="16"/>
                    </w:rPr>
                    <w:t>2026 r.</w:t>
                  </w:r>
                </w:p>
              </w:tc>
              <w:tc>
                <w:tcPr>
                  <w:tcW w:w="1276" w:type="dxa"/>
                  <w:shd w:val="clear" w:color="auto" w:fill="DBDBDB" w:themeFill="accent3" w:themeFillTint="66"/>
                  <w:vAlign w:val="center"/>
                </w:tcPr>
                <w:p w14:paraId="7639A383" w14:textId="77777777" w:rsidR="004F41EB" w:rsidRPr="001A4147" w:rsidRDefault="004F41EB" w:rsidP="006B36C0">
                  <w:pPr>
                    <w:jc w:val="center"/>
                    <w:rPr>
                      <w:rFonts w:ascii="Times New Roman" w:hAnsi="Times New Roman" w:cs="Times New Roman"/>
                      <w:sz w:val="16"/>
                      <w:szCs w:val="16"/>
                    </w:rPr>
                  </w:pPr>
                  <w:r w:rsidRPr="001A4147">
                    <w:rPr>
                      <w:rFonts w:ascii="Times New Roman" w:hAnsi="Times New Roman" w:cs="Times New Roman"/>
                      <w:b/>
                      <w:bCs/>
                      <w:sz w:val="16"/>
                      <w:szCs w:val="16"/>
                    </w:rPr>
                    <w:t>2027 r.</w:t>
                  </w:r>
                </w:p>
              </w:tc>
              <w:tc>
                <w:tcPr>
                  <w:tcW w:w="1275" w:type="dxa"/>
                  <w:shd w:val="clear" w:color="auto" w:fill="DBDBDB" w:themeFill="accent3" w:themeFillTint="66"/>
                  <w:vAlign w:val="center"/>
                </w:tcPr>
                <w:p w14:paraId="1C42D2BA" w14:textId="77777777" w:rsidR="004F41EB" w:rsidRPr="001A4147" w:rsidRDefault="004F41EB" w:rsidP="006B36C0">
                  <w:pPr>
                    <w:jc w:val="center"/>
                    <w:rPr>
                      <w:rFonts w:ascii="Times New Roman" w:hAnsi="Times New Roman" w:cs="Times New Roman"/>
                      <w:sz w:val="16"/>
                      <w:szCs w:val="16"/>
                    </w:rPr>
                  </w:pPr>
                  <w:r w:rsidRPr="001A4147">
                    <w:rPr>
                      <w:rFonts w:ascii="Times New Roman" w:hAnsi="Times New Roman" w:cs="Times New Roman"/>
                      <w:b/>
                      <w:bCs/>
                      <w:sz w:val="16"/>
                      <w:szCs w:val="16"/>
                    </w:rPr>
                    <w:t>2028 r.</w:t>
                  </w:r>
                </w:p>
              </w:tc>
              <w:tc>
                <w:tcPr>
                  <w:tcW w:w="1193" w:type="dxa"/>
                  <w:shd w:val="clear" w:color="auto" w:fill="A6A6A6" w:themeFill="background1" w:themeFillShade="A6"/>
                  <w:vAlign w:val="center"/>
                </w:tcPr>
                <w:p w14:paraId="4A9AE00B" w14:textId="77777777" w:rsidR="004F41EB" w:rsidRPr="001A4147" w:rsidRDefault="004F41EB" w:rsidP="006B36C0">
                  <w:pPr>
                    <w:jc w:val="center"/>
                    <w:rPr>
                      <w:rFonts w:ascii="Times New Roman" w:hAnsi="Times New Roman" w:cs="Times New Roman"/>
                      <w:sz w:val="16"/>
                      <w:szCs w:val="16"/>
                    </w:rPr>
                  </w:pPr>
                  <w:r w:rsidRPr="001A4147">
                    <w:rPr>
                      <w:rFonts w:ascii="Times New Roman" w:hAnsi="Times New Roman" w:cs="Times New Roman"/>
                      <w:b/>
                      <w:bCs/>
                      <w:sz w:val="16"/>
                      <w:szCs w:val="16"/>
                    </w:rPr>
                    <w:t>2024-2028</w:t>
                  </w:r>
                </w:p>
              </w:tc>
            </w:tr>
            <w:tr w:rsidR="004F41EB" w:rsidRPr="001A4147" w14:paraId="1FA1D0E3" w14:textId="77777777" w:rsidTr="00E94A0D">
              <w:tc>
                <w:tcPr>
                  <w:tcW w:w="1243" w:type="dxa"/>
                  <w:shd w:val="clear" w:color="auto" w:fill="auto"/>
                  <w:vAlign w:val="center"/>
                </w:tcPr>
                <w:p w14:paraId="219282ED" w14:textId="6989701D" w:rsidR="004F41EB" w:rsidRPr="00E94A0D" w:rsidRDefault="004F41EB" w:rsidP="006B36C0">
                  <w:pPr>
                    <w:jc w:val="center"/>
                    <w:rPr>
                      <w:rFonts w:ascii="Times New Roman" w:hAnsi="Times New Roman" w:cs="Times New Roman"/>
                      <w:b/>
                      <w:bCs/>
                      <w:sz w:val="16"/>
                      <w:szCs w:val="16"/>
                    </w:rPr>
                  </w:pPr>
                  <w:r w:rsidRPr="00E94A0D">
                    <w:rPr>
                      <w:rFonts w:ascii="Times New Roman" w:hAnsi="Times New Roman" w:cs="Times New Roman"/>
                      <w:b/>
                      <w:bCs/>
                      <w:sz w:val="16"/>
                      <w:szCs w:val="16"/>
                    </w:rPr>
                    <w:t>198</w:t>
                  </w:r>
                  <w:r w:rsidR="0070518F">
                    <w:rPr>
                      <w:rFonts w:ascii="Times New Roman" w:hAnsi="Times New Roman" w:cs="Times New Roman"/>
                      <w:b/>
                      <w:bCs/>
                      <w:sz w:val="16"/>
                      <w:szCs w:val="16"/>
                    </w:rPr>
                    <w:t>.</w:t>
                  </w:r>
                  <w:r w:rsidRPr="00E94A0D">
                    <w:rPr>
                      <w:rFonts w:ascii="Times New Roman" w:hAnsi="Times New Roman" w:cs="Times New Roman"/>
                      <w:b/>
                      <w:bCs/>
                      <w:sz w:val="16"/>
                      <w:szCs w:val="16"/>
                    </w:rPr>
                    <w:t>000,00</w:t>
                  </w:r>
                </w:p>
              </w:tc>
              <w:tc>
                <w:tcPr>
                  <w:tcW w:w="1276" w:type="dxa"/>
                  <w:shd w:val="clear" w:color="auto" w:fill="auto"/>
                  <w:vAlign w:val="center"/>
                </w:tcPr>
                <w:p w14:paraId="0CB574F3" w14:textId="19BECAF9" w:rsidR="004F41EB" w:rsidRPr="00E94A0D" w:rsidRDefault="004F41EB" w:rsidP="006B36C0">
                  <w:pPr>
                    <w:jc w:val="center"/>
                    <w:rPr>
                      <w:rFonts w:ascii="Times New Roman" w:hAnsi="Times New Roman" w:cs="Times New Roman"/>
                      <w:b/>
                      <w:bCs/>
                      <w:sz w:val="16"/>
                      <w:szCs w:val="16"/>
                    </w:rPr>
                  </w:pPr>
                  <w:r w:rsidRPr="00E94A0D">
                    <w:rPr>
                      <w:rFonts w:ascii="Times New Roman" w:hAnsi="Times New Roman" w:cs="Times New Roman"/>
                      <w:b/>
                      <w:bCs/>
                      <w:sz w:val="16"/>
                      <w:szCs w:val="16"/>
                    </w:rPr>
                    <w:t>198</w:t>
                  </w:r>
                  <w:r w:rsidR="00AB760F">
                    <w:rPr>
                      <w:rFonts w:ascii="Times New Roman" w:hAnsi="Times New Roman" w:cs="Times New Roman"/>
                      <w:b/>
                      <w:bCs/>
                      <w:sz w:val="16"/>
                      <w:szCs w:val="16"/>
                    </w:rPr>
                    <w:t>.</w:t>
                  </w:r>
                  <w:r w:rsidRPr="00E94A0D">
                    <w:rPr>
                      <w:rFonts w:ascii="Times New Roman" w:hAnsi="Times New Roman" w:cs="Times New Roman"/>
                      <w:b/>
                      <w:bCs/>
                      <w:sz w:val="16"/>
                      <w:szCs w:val="16"/>
                    </w:rPr>
                    <w:t>000,00</w:t>
                  </w:r>
                </w:p>
              </w:tc>
              <w:tc>
                <w:tcPr>
                  <w:tcW w:w="1276" w:type="dxa"/>
                  <w:shd w:val="clear" w:color="auto" w:fill="auto"/>
                  <w:vAlign w:val="center"/>
                </w:tcPr>
                <w:p w14:paraId="28544042" w14:textId="34DB4409" w:rsidR="004F41EB" w:rsidRPr="00E94A0D" w:rsidRDefault="004F41EB" w:rsidP="006B36C0">
                  <w:pPr>
                    <w:jc w:val="center"/>
                    <w:rPr>
                      <w:rFonts w:ascii="Times New Roman" w:hAnsi="Times New Roman" w:cs="Times New Roman"/>
                      <w:b/>
                      <w:bCs/>
                      <w:sz w:val="16"/>
                      <w:szCs w:val="16"/>
                    </w:rPr>
                  </w:pPr>
                  <w:r w:rsidRPr="00E94A0D">
                    <w:rPr>
                      <w:rFonts w:ascii="Times New Roman" w:hAnsi="Times New Roman" w:cs="Times New Roman"/>
                      <w:b/>
                      <w:bCs/>
                      <w:sz w:val="16"/>
                      <w:szCs w:val="16"/>
                    </w:rPr>
                    <w:t>198</w:t>
                  </w:r>
                  <w:r w:rsidR="00AB760F">
                    <w:rPr>
                      <w:rFonts w:ascii="Times New Roman" w:hAnsi="Times New Roman" w:cs="Times New Roman"/>
                      <w:b/>
                      <w:bCs/>
                      <w:sz w:val="16"/>
                      <w:szCs w:val="16"/>
                    </w:rPr>
                    <w:t>.</w:t>
                  </w:r>
                  <w:r w:rsidRPr="00E94A0D">
                    <w:rPr>
                      <w:rFonts w:ascii="Times New Roman" w:hAnsi="Times New Roman" w:cs="Times New Roman"/>
                      <w:b/>
                      <w:bCs/>
                      <w:sz w:val="16"/>
                      <w:szCs w:val="16"/>
                    </w:rPr>
                    <w:t>000,00</w:t>
                  </w:r>
                </w:p>
              </w:tc>
              <w:tc>
                <w:tcPr>
                  <w:tcW w:w="1276" w:type="dxa"/>
                  <w:shd w:val="clear" w:color="auto" w:fill="auto"/>
                  <w:vAlign w:val="center"/>
                </w:tcPr>
                <w:p w14:paraId="4331DD5F" w14:textId="25A6EBAF" w:rsidR="004F41EB" w:rsidRPr="00E94A0D" w:rsidRDefault="004F41EB" w:rsidP="006B36C0">
                  <w:pPr>
                    <w:jc w:val="center"/>
                    <w:rPr>
                      <w:rFonts w:ascii="Times New Roman" w:hAnsi="Times New Roman" w:cs="Times New Roman"/>
                      <w:b/>
                      <w:bCs/>
                      <w:sz w:val="16"/>
                      <w:szCs w:val="16"/>
                    </w:rPr>
                  </w:pPr>
                  <w:r w:rsidRPr="00E94A0D">
                    <w:rPr>
                      <w:rFonts w:ascii="Times New Roman" w:hAnsi="Times New Roman" w:cs="Times New Roman"/>
                      <w:b/>
                      <w:bCs/>
                      <w:sz w:val="16"/>
                      <w:szCs w:val="16"/>
                    </w:rPr>
                    <w:t>198</w:t>
                  </w:r>
                  <w:r w:rsidR="00AB760F">
                    <w:rPr>
                      <w:rFonts w:ascii="Times New Roman" w:hAnsi="Times New Roman" w:cs="Times New Roman"/>
                      <w:b/>
                      <w:bCs/>
                      <w:sz w:val="16"/>
                      <w:szCs w:val="16"/>
                    </w:rPr>
                    <w:t>.</w:t>
                  </w:r>
                  <w:r w:rsidRPr="00E94A0D">
                    <w:rPr>
                      <w:rFonts w:ascii="Times New Roman" w:hAnsi="Times New Roman" w:cs="Times New Roman"/>
                      <w:b/>
                      <w:bCs/>
                      <w:sz w:val="16"/>
                      <w:szCs w:val="16"/>
                    </w:rPr>
                    <w:t>000,00</w:t>
                  </w:r>
                </w:p>
              </w:tc>
              <w:tc>
                <w:tcPr>
                  <w:tcW w:w="1275" w:type="dxa"/>
                  <w:shd w:val="clear" w:color="auto" w:fill="auto"/>
                  <w:vAlign w:val="center"/>
                </w:tcPr>
                <w:p w14:paraId="6B066498" w14:textId="655AC1EE" w:rsidR="004F41EB" w:rsidRPr="00E94A0D" w:rsidRDefault="004F41EB" w:rsidP="006B36C0">
                  <w:pPr>
                    <w:jc w:val="center"/>
                    <w:rPr>
                      <w:rFonts w:ascii="Times New Roman" w:hAnsi="Times New Roman" w:cs="Times New Roman"/>
                      <w:b/>
                      <w:bCs/>
                      <w:sz w:val="16"/>
                      <w:szCs w:val="16"/>
                    </w:rPr>
                  </w:pPr>
                  <w:r w:rsidRPr="00E94A0D">
                    <w:rPr>
                      <w:rFonts w:ascii="Times New Roman" w:hAnsi="Times New Roman" w:cs="Times New Roman"/>
                      <w:b/>
                      <w:bCs/>
                      <w:sz w:val="16"/>
                      <w:szCs w:val="16"/>
                    </w:rPr>
                    <w:t>198</w:t>
                  </w:r>
                  <w:r w:rsidR="00AB760F">
                    <w:rPr>
                      <w:rFonts w:ascii="Times New Roman" w:hAnsi="Times New Roman" w:cs="Times New Roman"/>
                      <w:b/>
                      <w:bCs/>
                      <w:sz w:val="16"/>
                      <w:szCs w:val="16"/>
                    </w:rPr>
                    <w:t>.</w:t>
                  </w:r>
                  <w:r w:rsidRPr="00E94A0D">
                    <w:rPr>
                      <w:rFonts w:ascii="Times New Roman" w:hAnsi="Times New Roman" w:cs="Times New Roman"/>
                      <w:b/>
                      <w:bCs/>
                      <w:sz w:val="16"/>
                      <w:szCs w:val="16"/>
                    </w:rPr>
                    <w:t>000,00</w:t>
                  </w:r>
                </w:p>
              </w:tc>
              <w:tc>
                <w:tcPr>
                  <w:tcW w:w="1193" w:type="dxa"/>
                  <w:shd w:val="clear" w:color="auto" w:fill="BFBFBF" w:themeFill="background1" w:themeFillShade="BF"/>
                  <w:vAlign w:val="center"/>
                </w:tcPr>
                <w:p w14:paraId="6F4E0850" w14:textId="43A731CA" w:rsidR="004F41EB" w:rsidRPr="001A4147" w:rsidRDefault="004F41EB" w:rsidP="006B36C0">
                  <w:pPr>
                    <w:jc w:val="center"/>
                    <w:rPr>
                      <w:rFonts w:ascii="Times New Roman" w:hAnsi="Times New Roman" w:cs="Times New Roman"/>
                      <w:sz w:val="16"/>
                      <w:szCs w:val="16"/>
                    </w:rPr>
                  </w:pPr>
                  <w:r w:rsidRPr="001A4147">
                    <w:rPr>
                      <w:rFonts w:ascii="Times New Roman" w:hAnsi="Times New Roman" w:cs="Times New Roman"/>
                      <w:b/>
                      <w:bCs/>
                      <w:sz w:val="16"/>
                      <w:szCs w:val="16"/>
                    </w:rPr>
                    <w:t>990</w:t>
                  </w:r>
                  <w:r w:rsidR="00AB760F">
                    <w:rPr>
                      <w:rFonts w:ascii="Times New Roman" w:hAnsi="Times New Roman" w:cs="Times New Roman"/>
                      <w:b/>
                      <w:bCs/>
                      <w:sz w:val="16"/>
                      <w:szCs w:val="16"/>
                    </w:rPr>
                    <w:t>.</w:t>
                  </w:r>
                  <w:r w:rsidRPr="001A4147">
                    <w:rPr>
                      <w:rFonts w:ascii="Times New Roman" w:hAnsi="Times New Roman" w:cs="Times New Roman"/>
                      <w:b/>
                      <w:bCs/>
                      <w:sz w:val="16"/>
                      <w:szCs w:val="16"/>
                    </w:rPr>
                    <w:t>000,00</w:t>
                  </w:r>
                </w:p>
              </w:tc>
            </w:tr>
          </w:tbl>
          <w:p w14:paraId="7965D8B3" w14:textId="2F32EF1E" w:rsidR="00AE0E3D" w:rsidRPr="001A4147" w:rsidRDefault="00AE0E3D" w:rsidP="00AE0E3D">
            <w:pPr>
              <w:spacing w:before="120" w:after="120"/>
              <w:jc w:val="both"/>
              <w:rPr>
                <w:rFonts w:ascii="Times New Roman" w:hAnsi="Times New Roman" w:cs="Times New Roman"/>
                <w:sz w:val="16"/>
                <w:szCs w:val="16"/>
              </w:rPr>
            </w:pPr>
            <w:r w:rsidRPr="001A4147">
              <w:rPr>
                <w:rFonts w:ascii="Times New Roman" w:hAnsi="Times New Roman" w:cs="Times New Roman"/>
                <w:sz w:val="16"/>
                <w:szCs w:val="16"/>
              </w:rPr>
              <w:t>1 etat x 12 m-</w:t>
            </w:r>
            <w:proofErr w:type="spellStart"/>
            <w:r w:rsidRPr="001A4147">
              <w:rPr>
                <w:rFonts w:ascii="Times New Roman" w:hAnsi="Times New Roman" w:cs="Times New Roman"/>
                <w:sz w:val="16"/>
                <w:szCs w:val="16"/>
              </w:rPr>
              <w:t>cy</w:t>
            </w:r>
            <w:proofErr w:type="spellEnd"/>
            <w:r w:rsidRPr="001A4147">
              <w:rPr>
                <w:rFonts w:ascii="Times New Roman" w:hAnsi="Times New Roman" w:cs="Times New Roman"/>
                <w:sz w:val="16"/>
                <w:szCs w:val="16"/>
              </w:rPr>
              <w:t xml:space="preserve"> x wynagrodzenie zasadnicze na stanowisku starszego specjalisty (stanowiska pozostałe) wraz z kosztami pracodawcy wg obowiązującego</w:t>
            </w:r>
            <w:r w:rsidR="002C1DD7">
              <w:rPr>
                <w:rFonts w:ascii="Times New Roman" w:hAnsi="Times New Roman" w:cs="Times New Roman"/>
                <w:sz w:val="16"/>
                <w:szCs w:val="16"/>
              </w:rPr>
              <w:t xml:space="preserve"> w PAŻP</w:t>
            </w:r>
            <w:r w:rsidRPr="001A4147">
              <w:rPr>
                <w:rFonts w:ascii="Times New Roman" w:hAnsi="Times New Roman" w:cs="Times New Roman"/>
                <w:sz w:val="16"/>
                <w:szCs w:val="16"/>
              </w:rPr>
              <w:t xml:space="preserve"> </w:t>
            </w:r>
            <w:r w:rsidR="002C1DD7">
              <w:rPr>
                <w:rFonts w:ascii="Times New Roman" w:hAnsi="Times New Roman" w:cs="Times New Roman"/>
                <w:sz w:val="16"/>
                <w:szCs w:val="16"/>
              </w:rPr>
              <w:t>r</w:t>
            </w:r>
            <w:r w:rsidRPr="001A4147">
              <w:rPr>
                <w:rFonts w:ascii="Times New Roman" w:hAnsi="Times New Roman" w:cs="Times New Roman"/>
                <w:sz w:val="16"/>
                <w:szCs w:val="16"/>
              </w:rPr>
              <w:t>egulaminu</w:t>
            </w:r>
            <w:r>
              <w:rPr>
                <w:rFonts w:ascii="Times New Roman" w:hAnsi="Times New Roman" w:cs="Times New Roman"/>
                <w:sz w:val="16"/>
                <w:szCs w:val="16"/>
              </w:rPr>
              <w:t xml:space="preserve"> w</w:t>
            </w:r>
            <w:r w:rsidRPr="001A4147">
              <w:rPr>
                <w:rFonts w:ascii="Times New Roman" w:hAnsi="Times New Roman" w:cs="Times New Roman"/>
                <w:sz w:val="16"/>
                <w:szCs w:val="16"/>
              </w:rPr>
              <w:t>ynagradzania</w:t>
            </w:r>
            <w:r>
              <w:rPr>
                <w:rFonts w:ascii="Times New Roman" w:hAnsi="Times New Roman" w:cs="Times New Roman"/>
                <w:sz w:val="16"/>
                <w:szCs w:val="16"/>
              </w:rPr>
              <w:t>.</w:t>
            </w:r>
          </w:p>
          <w:p w14:paraId="7E778B9B" w14:textId="205BA64F" w:rsidR="004F41EB" w:rsidRPr="00B5006E" w:rsidRDefault="00AE0E3D" w:rsidP="00AE0E3D">
            <w:pPr>
              <w:jc w:val="both"/>
              <w:rPr>
                <w:rFonts w:ascii="Times New Roman" w:hAnsi="Times New Roman" w:cs="Times New Roman"/>
                <w:sz w:val="16"/>
                <w:szCs w:val="16"/>
              </w:rPr>
            </w:pPr>
            <w:r w:rsidRPr="001A4147">
              <w:rPr>
                <w:rFonts w:ascii="Times New Roman" w:hAnsi="Times New Roman" w:cs="Times New Roman"/>
                <w:sz w:val="16"/>
                <w:szCs w:val="16"/>
              </w:rPr>
              <w:t xml:space="preserve">Łącznie: </w:t>
            </w:r>
            <w:r>
              <w:rPr>
                <w:rFonts w:ascii="Times New Roman" w:hAnsi="Times New Roman" w:cs="Times New Roman"/>
                <w:sz w:val="16"/>
                <w:szCs w:val="16"/>
              </w:rPr>
              <w:t>156.000</w:t>
            </w:r>
            <w:r w:rsidRPr="001A4147">
              <w:rPr>
                <w:rFonts w:ascii="Times New Roman" w:hAnsi="Times New Roman" w:cs="Times New Roman"/>
                <w:sz w:val="16"/>
                <w:szCs w:val="16"/>
              </w:rPr>
              <w:t xml:space="preserve"> zł wyna</w:t>
            </w:r>
            <w:r>
              <w:rPr>
                <w:rFonts w:ascii="Times New Roman" w:hAnsi="Times New Roman" w:cs="Times New Roman"/>
                <w:sz w:val="16"/>
                <w:szCs w:val="16"/>
              </w:rPr>
              <w:t>grodzenie zasadnicze + 42.000</w:t>
            </w:r>
            <w:r w:rsidRPr="001A4147">
              <w:rPr>
                <w:rFonts w:ascii="Times New Roman" w:hAnsi="Times New Roman" w:cs="Times New Roman"/>
                <w:sz w:val="16"/>
                <w:szCs w:val="16"/>
              </w:rPr>
              <w:t xml:space="preserve"> zł koszty pracodawcy = 198.000 zł</w:t>
            </w:r>
          </w:p>
        </w:tc>
      </w:tr>
      <w:tr w:rsidR="00335979" w:rsidRPr="00B5006E" w14:paraId="3A949F77" w14:textId="77777777" w:rsidTr="00694876">
        <w:tc>
          <w:tcPr>
            <w:tcW w:w="1425" w:type="dxa"/>
            <w:shd w:val="clear" w:color="auto" w:fill="D9D9D9" w:themeFill="background1" w:themeFillShade="D9"/>
            <w:vAlign w:val="center"/>
          </w:tcPr>
          <w:p w14:paraId="1B18A010" w14:textId="577A6CDF" w:rsidR="009A1121" w:rsidRPr="00694876" w:rsidRDefault="009A1121" w:rsidP="009A1121">
            <w:pPr>
              <w:jc w:val="both"/>
              <w:rPr>
                <w:rFonts w:ascii="Times New Roman" w:hAnsi="Times New Roman" w:cs="Times New Roman"/>
                <w:b/>
                <w:bCs/>
                <w:sz w:val="16"/>
                <w:szCs w:val="16"/>
              </w:rPr>
            </w:pPr>
            <w:r w:rsidRPr="00694876">
              <w:rPr>
                <w:rFonts w:ascii="Times New Roman" w:hAnsi="Times New Roman" w:cs="Times New Roman"/>
                <w:b/>
                <w:bCs/>
                <w:sz w:val="16"/>
                <w:szCs w:val="16"/>
              </w:rPr>
              <w:lastRenderedPageBreak/>
              <w:t>Wynagrodzenie pracowników wykonujących merytoryczne zadania bezpośrednio związane z głównymi celami i produktami projektu</w:t>
            </w:r>
          </w:p>
        </w:tc>
        <w:tc>
          <w:tcPr>
            <w:tcW w:w="1269" w:type="dxa"/>
            <w:shd w:val="clear" w:color="auto" w:fill="D9D9D9" w:themeFill="background1" w:themeFillShade="D9"/>
            <w:vAlign w:val="center"/>
          </w:tcPr>
          <w:p w14:paraId="1AC1449B" w14:textId="57396417" w:rsidR="009A1121" w:rsidRPr="00694876" w:rsidRDefault="00E4134C" w:rsidP="00694876">
            <w:pPr>
              <w:rPr>
                <w:rFonts w:ascii="Times New Roman" w:hAnsi="Times New Roman" w:cs="Times New Roman"/>
                <w:sz w:val="16"/>
                <w:szCs w:val="16"/>
              </w:rPr>
            </w:pPr>
            <w:r>
              <w:rPr>
                <w:rFonts w:ascii="Times New Roman" w:hAnsi="Times New Roman" w:cs="Times New Roman"/>
                <w:b/>
                <w:bCs/>
                <w:sz w:val="16"/>
                <w:szCs w:val="16"/>
              </w:rPr>
              <w:t>34.289.600</w:t>
            </w:r>
            <w:r w:rsidR="009A1121" w:rsidRPr="00694876">
              <w:rPr>
                <w:rFonts w:ascii="Times New Roman" w:hAnsi="Times New Roman" w:cs="Times New Roman"/>
                <w:b/>
                <w:bCs/>
                <w:sz w:val="16"/>
                <w:szCs w:val="16"/>
              </w:rPr>
              <w:t>,00</w:t>
            </w:r>
          </w:p>
        </w:tc>
        <w:tc>
          <w:tcPr>
            <w:tcW w:w="7796" w:type="dxa"/>
            <w:shd w:val="clear" w:color="auto" w:fill="auto"/>
          </w:tcPr>
          <w:p w14:paraId="6338A61E" w14:textId="59D67D31" w:rsidR="00010F50" w:rsidRPr="00B5006E" w:rsidRDefault="004A4BDB" w:rsidP="00AE0E3D">
            <w:pPr>
              <w:spacing w:before="120" w:after="120"/>
              <w:jc w:val="both"/>
              <w:rPr>
                <w:rFonts w:ascii="Times New Roman" w:hAnsi="Times New Roman" w:cs="Times New Roman"/>
                <w:sz w:val="16"/>
                <w:szCs w:val="16"/>
              </w:rPr>
            </w:pPr>
            <w:r w:rsidRPr="00B5006E">
              <w:rPr>
                <w:rFonts w:ascii="Times New Roman" w:hAnsi="Times New Roman" w:cs="Times New Roman"/>
                <w:sz w:val="16"/>
                <w:szCs w:val="16"/>
              </w:rPr>
              <w:t xml:space="preserve">Utrzymanie </w:t>
            </w:r>
            <w:r w:rsidR="003A4BB9" w:rsidRPr="00B5006E">
              <w:rPr>
                <w:rFonts w:ascii="Times New Roman" w:hAnsi="Times New Roman" w:cs="Times New Roman"/>
                <w:sz w:val="16"/>
                <w:szCs w:val="16"/>
              </w:rPr>
              <w:t>trwałości projektu</w:t>
            </w:r>
            <w:r w:rsidRPr="00B5006E">
              <w:rPr>
                <w:rFonts w:ascii="Times New Roman" w:hAnsi="Times New Roman" w:cs="Times New Roman"/>
                <w:sz w:val="16"/>
                <w:szCs w:val="16"/>
              </w:rPr>
              <w:t xml:space="preserve"> wymaga zaangażowania </w:t>
            </w:r>
            <w:r w:rsidR="003B1E57" w:rsidRPr="00B5006E">
              <w:rPr>
                <w:rFonts w:ascii="Times New Roman" w:hAnsi="Times New Roman" w:cs="Times New Roman"/>
                <w:sz w:val="16"/>
                <w:szCs w:val="16"/>
              </w:rPr>
              <w:t>personelu</w:t>
            </w:r>
            <w:r w:rsidR="003A4BB9" w:rsidRPr="00B5006E">
              <w:rPr>
                <w:rFonts w:ascii="Times New Roman" w:hAnsi="Times New Roman" w:cs="Times New Roman"/>
                <w:sz w:val="16"/>
                <w:szCs w:val="16"/>
              </w:rPr>
              <w:t>, a koszty z tym związane</w:t>
            </w:r>
            <w:r w:rsidRPr="00B5006E">
              <w:rPr>
                <w:rFonts w:ascii="Times New Roman" w:hAnsi="Times New Roman" w:cs="Times New Roman"/>
                <w:sz w:val="16"/>
                <w:szCs w:val="16"/>
              </w:rPr>
              <w:t xml:space="preserve"> zostały </w:t>
            </w:r>
            <w:r w:rsidR="009A08C6" w:rsidRPr="00B5006E">
              <w:rPr>
                <w:rFonts w:ascii="Times New Roman" w:hAnsi="Times New Roman" w:cs="Times New Roman"/>
                <w:sz w:val="16"/>
                <w:szCs w:val="16"/>
              </w:rPr>
              <w:t xml:space="preserve">oszacowane w oparciu o obowiązujący </w:t>
            </w:r>
            <w:r w:rsidR="00DF6752">
              <w:rPr>
                <w:rFonts w:ascii="Times New Roman" w:hAnsi="Times New Roman" w:cs="Times New Roman"/>
                <w:sz w:val="16"/>
                <w:szCs w:val="16"/>
              </w:rPr>
              <w:t>w PAŻP r</w:t>
            </w:r>
            <w:r w:rsidR="009A08C6" w:rsidRPr="00B5006E">
              <w:rPr>
                <w:rFonts w:ascii="Times New Roman" w:hAnsi="Times New Roman" w:cs="Times New Roman"/>
                <w:sz w:val="16"/>
                <w:szCs w:val="16"/>
              </w:rPr>
              <w:t>egulamin wynagradzania. Analogicznie jak w okresie realizacji projektu na potrzeby każdego zadania zostały określone niezbędne zasoby (</w:t>
            </w:r>
            <w:r w:rsidR="00B46F11" w:rsidRPr="00B5006E">
              <w:rPr>
                <w:rFonts w:ascii="Times New Roman" w:hAnsi="Times New Roman" w:cs="Times New Roman"/>
                <w:sz w:val="16"/>
                <w:szCs w:val="16"/>
              </w:rPr>
              <w:t>zasoby IT oraz zasoby merytoryczne),</w:t>
            </w:r>
            <w:r w:rsidR="009A08C6" w:rsidRPr="00B5006E">
              <w:rPr>
                <w:rFonts w:ascii="Times New Roman" w:hAnsi="Times New Roman" w:cs="Times New Roman"/>
                <w:sz w:val="16"/>
                <w:szCs w:val="16"/>
              </w:rPr>
              <w:t xml:space="preserve"> a następnie dla poszczególnych stanowisk zostały określone ich zaangażowania w postaci %</w:t>
            </w:r>
            <w:r w:rsidR="003A4BB9" w:rsidRPr="00B5006E">
              <w:rPr>
                <w:rFonts w:ascii="Times New Roman" w:hAnsi="Times New Roman" w:cs="Times New Roman"/>
                <w:sz w:val="16"/>
                <w:szCs w:val="16"/>
              </w:rPr>
              <w:t xml:space="preserve"> </w:t>
            </w:r>
            <w:r w:rsidR="009A08C6" w:rsidRPr="00B5006E">
              <w:rPr>
                <w:rFonts w:ascii="Times New Roman" w:hAnsi="Times New Roman" w:cs="Times New Roman"/>
                <w:sz w:val="16"/>
                <w:szCs w:val="16"/>
              </w:rPr>
              <w:t xml:space="preserve">udziału FTE oraz obecnego kosztu pracodawcy. </w:t>
            </w:r>
          </w:p>
          <w:p w14:paraId="5E782E94" w14:textId="369B2B8D" w:rsidR="00B46F11" w:rsidRDefault="00BD4CB1" w:rsidP="00AE0E3D">
            <w:pPr>
              <w:spacing w:before="120" w:after="120"/>
              <w:jc w:val="both"/>
              <w:rPr>
                <w:rFonts w:ascii="Times New Roman" w:hAnsi="Times New Roman" w:cs="Times New Roman"/>
                <w:sz w:val="16"/>
                <w:szCs w:val="16"/>
              </w:rPr>
            </w:pPr>
            <w:r w:rsidRPr="00B5006E">
              <w:rPr>
                <w:rFonts w:ascii="Times New Roman" w:hAnsi="Times New Roman" w:cs="Times New Roman"/>
                <w:sz w:val="16"/>
                <w:szCs w:val="16"/>
              </w:rPr>
              <w:t xml:space="preserve">W związku z planowanym wzrostem zainteresowania z korzystania </w:t>
            </w:r>
            <w:r w:rsidR="00B46F11" w:rsidRPr="00B5006E">
              <w:rPr>
                <w:rFonts w:ascii="Times New Roman" w:hAnsi="Times New Roman" w:cs="Times New Roman"/>
                <w:sz w:val="16"/>
                <w:szCs w:val="16"/>
              </w:rPr>
              <w:t xml:space="preserve">z </w:t>
            </w:r>
            <w:r w:rsidR="003A4BB9" w:rsidRPr="00B5006E">
              <w:rPr>
                <w:rFonts w:ascii="Times New Roman" w:hAnsi="Times New Roman" w:cs="Times New Roman"/>
                <w:sz w:val="16"/>
                <w:szCs w:val="16"/>
              </w:rPr>
              <w:t>efektów projektu</w:t>
            </w:r>
            <w:r w:rsidRPr="00B5006E">
              <w:rPr>
                <w:rFonts w:ascii="Times New Roman" w:hAnsi="Times New Roman" w:cs="Times New Roman"/>
                <w:sz w:val="16"/>
                <w:szCs w:val="16"/>
              </w:rPr>
              <w:t xml:space="preserve"> zakłada się </w:t>
            </w:r>
            <w:r w:rsidR="00E619D7" w:rsidRPr="00B5006E">
              <w:rPr>
                <w:rFonts w:ascii="Times New Roman" w:hAnsi="Times New Roman" w:cs="Times New Roman"/>
                <w:sz w:val="16"/>
                <w:szCs w:val="16"/>
              </w:rPr>
              <w:t xml:space="preserve">w kolejnych latach funkcjonowania systemu </w:t>
            </w:r>
            <w:r w:rsidRPr="00B5006E">
              <w:rPr>
                <w:rFonts w:ascii="Times New Roman" w:hAnsi="Times New Roman" w:cs="Times New Roman"/>
                <w:sz w:val="16"/>
                <w:szCs w:val="16"/>
              </w:rPr>
              <w:t xml:space="preserve">stopniowe zwiększanie zaangażowania personelu </w:t>
            </w:r>
            <w:r w:rsidR="00E619D7" w:rsidRPr="00B5006E">
              <w:rPr>
                <w:rFonts w:ascii="Times New Roman" w:hAnsi="Times New Roman" w:cs="Times New Roman"/>
                <w:sz w:val="16"/>
                <w:szCs w:val="16"/>
              </w:rPr>
              <w:t>w bieżącą obsługę jego użytkowników</w:t>
            </w:r>
            <w:r w:rsidR="00B46F11" w:rsidRPr="00B5006E">
              <w:rPr>
                <w:rFonts w:ascii="Times New Roman" w:hAnsi="Times New Roman" w:cs="Times New Roman"/>
                <w:sz w:val="16"/>
                <w:szCs w:val="16"/>
              </w:rPr>
              <w:t>.</w:t>
            </w:r>
            <w:r w:rsidR="00010F50" w:rsidRPr="00B5006E">
              <w:rPr>
                <w:rFonts w:ascii="Times New Roman" w:hAnsi="Times New Roman" w:cs="Times New Roman"/>
                <w:sz w:val="16"/>
                <w:szCs w:val="16"/>
              </w:rPr>
              <w:t xml:space="preserve"> Jednocześnie, z uwagi na sytuację rynkową, zmiany systemu podatkowego, wybór formuły świadczenia usług/ pracy w większości przypadków wynika z uwarunkowań i preferencji wykonawcy, zatem w okresie utrzymania </w:t>
            </w:r>
            <w:r w:rsidR="003A4BB9" w:rsidRPr="00B5006E">
              <w:rPr>
                <w:rFonts w:ascii="Times New Roman" w:hAnsi="Times New Roman" w:cs="Times New Roman"/>
                <w:sz w:val="16"/>
                <w:szCs w:val="16"/>
              </w:rPr>
              <w:t xml:space="preserve">trwałości </w:t>
            </w:r>
            <w:r w:rsidR="00010F50" w:rsidRPr="00B5006E">
              <w:rPr>
                <w:rFonts w:ascii="Times New Roman" w:hAnsi="Times New Roman" w:cs="Times New Roman"/>
                <w:sz w:val="16"/>
                <w:szCs w:val="16"/>
              </w:rPr>
              <w:t xml:space="preserve">projektu przewiduje się elastyczność w obszarze </w:t>
            </w:r>
            <w:r w:rsidR="00920BFF" w:rsidRPr="00B5006E">
              <w:rPr>
                <w:rFonts w:ascii="Times New Roman" w:hAnsi="Times New Roman" w:cs="Times New Roman"/>
                <w:sz w:val="16"/>
                <w:szCs w:val="16"/>
              </w:rPr>
              <w:t xml:space="preserve">kategorii </w:t>
            </w:r>
            <w:r w:rsidR="00010F50" w:rsidRPr="00B5006E">
              <w:rPr>
                <w:rFonts w:ascii="Times New Roman" w:hAnsi="Times New Roman" w:cs="Times New Roman"/>
                <w:sz w:val="16"/>
                <w:szCs w:val="16"/>
              </w:rPr>
              <w:t>kosztów osobowych</w:t>
            </w:r>
            <w:r w:rsidR="00920BFF" w:rsidRPr="00B5006E">
              <w:rPr>
                <w:rFonts w:ascii="Times New Roman" w:hAnsi="Times New Roman" w:cs="Times New Roman"/>
                <w:sz w:val="16"/>
                <w:szCs w:val="16"/>
              </w:rPr>
              <w:t xml:space="preserve"> (usługi obce/ wynagrodzenia)</w:t>
            </w:r>
            <w:r w:rsidR="00010F50" w:rsidRPr="00B5006E">
              <w:rPr>
                <w:rFonts w:ascii="Times New Roman" w:hAnsi="Times New Roman" w:cs="Times New Roman"/>
                <w:sz w:val="16"/>
                <w:szCs w:val="16"/>
              </w:rPr>
              <w:t>.</w:t>
            </w:r>
          </w:p>
          <w:p w14:paraId="081E28CF" w14:textId="39E62F6B" w:rsidR="004F41EB" w:rsidRPr="00B5006E" w:rsidRDefault="004D6F17" w:rsidP="00AE0E3D">
            <w:pPr>
              <w:spacing w:before="120" w:after="120"/>
              <w:jc w:val="both"/>
              <w:rPr>
                <w:rFonts w:ascii="Times New Roman" w:hAnsi="Times New Roman" w:cs="Times New Roman"/>
                <w:sz w:val="16"/>
                <w:szCs w:val="16"/>
              </w:rPr>
            </w:pPr>
            <w:r w:rsidRPr="004D6F17">
              <w:rPr>
                <w:rFonts w:ascii="Times New Roman" w:hAnsi="Times New Roman" w:cs="Times New Roman"/>
                <w:sz w:val="16"/>
                <w:szCs w:val="16"/>
              </w:rPr>
              <w:t>Zapewnienie funkcjonowania systemu wyznacza nowe zadania związan</w:t>
            </w:r>
            <w:r>
              <w:rPr>
                <w:rFonts w:ascii="Times New Roman" w:hAnsi="Times New Roman" w:cs="Times New Roman"/>
                <w:sz w:val="16"/>
                <w:szCs w:val="16"/>
              </w:rPr>
              <w:t>e</w:t>
            </w:r>
            <w:r w:rsidRPr="004D6F17">
              <w:rPr>
                <w:rFonts w:ascii="Times New Roman" w:hAnsi="Times New Roman" w:cs="Times New Roman"/>
                <w:sz w:val="16"/>
                <w:szCs w:val="16"/>
              </w:rPr>
              <w:t xml:space="preserve"> z utrzymaniem systemu oraz jego obsługą</w:t>
            </w:r>
            <w:r w:rsidR="00916837">
              <w:rPr>
                <w:rFonts w:ascii="Times New Roman" w:hAnsi="Times New Roman" w:cs="Times New Roman"/>
                <w:sz w:val="16"/>
                <w:szCs w:val="16"/>
              </w:rPr>
              <w:t xml:space="preserve"> oraz</w:t>
            </w:r>
            <w:r w:rsidRPr="004D6F17">
              <w:rPr>
                <w:rFonts w:ascii="Times New Roman" w:hAnsi="Times New Roman" w:cs="Times New Roman"/>
                <w:sz w:val="16"/>
                <w:szCs w:val="16"/>
              </w:rPr>
              <w:t xml:space="preserve"> wskazuje minimalny zasób ekspertów merytorycznych</w:t>
            </w:r>
            <w:r w:rsidR="00916837">
              <w:rPr>
                <w:rFonts w:ascii="Times New Roman" w:hAnsi="Times New Roman" w:cs="Times New Roman"/>
                <w:sz w:val="16"/>
                <w:szCs w:val="16"/>
              </w:rPr>
              <w:t xml:space="preserve">, </w:t>
            </w:r>
            <w:r w:rsidR="00490EF9">
              <w:rPr>
                <w:rFonts w:ascii="Times New Roman" w:hAnsi="Times New Roman" w:cs="Times New Roman"/>
                <w:sz w:val="16"/>
                <w:szCs w:val="16"/>
              </w:rPr>
              <w:t>ekspertów IT, zasobów do zarządzania utrzymaniem</w:t>
            </w:r>
            <w:r w:rsidRPr="004D6F17">
              <w:rPr>
                <w:rFonts w:ascii="Times New Roman" w:hAnsi="Times New Roman" w:cs="Times New Roman"/>
                <w:sz w:val="16"/>
                <w:szCs w:val="16"/>
              </w:rPr>
              <w:t xml:space="preserve"> potrzebnych do obsługi usług i systemów </w:t>
            </w:r>
            <w:r w:rsidR="00490EF9">
              <w:rPr>
                <w:rFonts w:ascii="Times New Roman" w:hAnsi="Times New Roman" w:cs="Times New Roman"/>
                <w:sz w:val="16"/>
                <w:szCs w:val="16"/>
              </w:rPr>
              <w:t xml:space="preserve">wytworzonych w ramach </w:t>
            </w:r>
            <w:r w:rsidR="00AE0E3D">
              <w:rPr>
                <w:rFonts w:ascii="Times New Roman" w:hAnsi="Times New Roman" w:cs="Times New Roman"/>
                <w:sz w:val="16"/>
                <w:szCs w:val="16"/>
              </w:rPr>
              <w:t>projektu „Usługi cyfrowe dla bezzałogowych statków powietrznych</w:t>
            </w:r>
            <w:r w:rsidR="00490EF9">
              <w:rPr>
                <w:rFonts w:ascii="Times New Roman" w:hAnsi="Times New Roman" w:cs="Times New Roman"/>
                <w:sz w:val="16"/>
                <w:szCs w:val="16"/>
              </w:rPr>
              <w:t>”</w:t>
            </w:r>
            <w:r w:rsidRPr="004D6F17">
              <w:rPr>
                <w:rFonts w:ascii="Times New Roman" w:hAnsi="Times New Roman" w:cs="Times New Roman"/>
                <w:sz w:val="16"/>
                <w:szCs w:val="16"/>
              </w:rPr>
              <w:t xml:space="preserve">. </w:t>
            </w:r>
            <w:r w:rsidR="00134A65">
              <w:rPr>
                <w:rFonts w:ascii="Times New Roman" w:hAnsi="Times New Roman" w:cs="Times New Roman"/>
                <w:sz w:val="16"/>
                <w:szCs w:val="16"/>
              </w:rPr>
              <w:t>Należy podkreślić, że zasoby zaangażowane na etapie realizacji projektu są finansowan</w:t>
            </w:r>
            <w:r w:rsidR="007D163C">
              <w:rPr>
                <w:rFonts w:ascii="Times New Roman" w:hAnsi="Times New Roman" w:cs="Times New Roman"/>
                <w:sz w:val="16"/>
                <w:szCs w:val="16"/>
              </w:rPr>
              <w:t>e</w:t>
            </w:r>
            <w:r w:rsidR="00134A65">
              <w:rPr>
                <w:rFonts w:ascii="Times New Roman" w:hAnsi="Times New Roman" w:cs="Times New Roman"/>
                <w:sz w:val="16"/>
                <w:szCs w:val="16"/>
              </w:rPr>
              <w:t xml:space="preserve"> ze środków POPC </w:t>
            </w:r>
            <w:r w:rsidR="00CE1B17">
              <w:rPr>
                <w:rFonts w:ascii="Times New Roman" w:hAnsi="Times New Roman" w:cs="Times New Roman"/>
                <w:sz w:val="16"/>
                <w:szCs w:val="16"/>
              </w:rPr>
              <w:t>do czasu zakończenia realizacji Projektu. W okresie utrzymania nie ma możliwości finansowania przedmiotowych dział</w:t>
            </w:r>
            <w:r w:rsidR="00AE0E3D">
              <w:rPr>
                <w:rFonts w:ascii="Times New Roman" w:hAnsi="Times New Roman" w:cs="Times New Roman"/>
                <w:sz w:val="16"/>
                <w:szCs w:val="16"/>
              </w:rPr>
              <w:t xml:space="preserve">ań </w:t>
            </w:r>
            <w:r w:rsidR="00AE6B8B">
              <w:rPr>
                <w:rFonts w:ascii="Times New Roman" w:hAnsi="Times New Roman" w:cs="Times New Roman"/>
                <w:sz w:val="16"/>
                <w:szCs w:val="16"/>
              </w:rPr>
              <w:t xml:space="preserve">z źródeł </w:t>
            </w:r>
            <w:r w:rsidR="00AE6B8B" w:rsidRPr="00AE6B8B">
              <w:rPr>
                <w:rFonts w:ascii="Times New Roman" w:hAnsi="Times New Roman" w:cs="Times New Roman"/>
                <w:sz w:val="16"/>
                <w:szCs w:val="16"/>
              </w:rPr>
              <w:t xml:space="preserve">uwzględnionych w Planie Skuteczności Działania </w:t>
            </w:r>
            <w:r w:rsidR="00AE6B8B">
              <w:rPr>
                <w:rFonts w:ascii="Times New Roman" w:hAnsi="Times New Roman" w:cs="Times New Roman"/>
                <w:sz w:val="16"/>
                <w:szCs w:val="16"/>
              </w:rPr>
              <w:t xml:space="preserve">(PSD </w:t>
            </w:r>
            <w:r w:rsidR="00AE6B8B" w:rsidRPr="00AE6B8B">
              <w:rPr>
                <w:rFonts w:ascii="Times New Roman" w:hAnsi="Times New Roman" w:cs="Times New Roman"/>
                <w:sz w:val="16"/>
                <w:szCs w:val="16"/>
              </w:rPr>
              <w:t>na trzeci okres odniesienia</w:t>
            </w:r>
            <w:r w:rsidR="00AE6B8B">
              <w:rPr>
                <w:rFonts w:ascii="Times New Roman" w:hAnsi="Times New Roman" w:cs="Times New Roman"/>
                <w:sz w:val="16"/>
                <w:szCs w:val="16"/>
              </w:rPr>
              <w:t xml:space="preserve"> (RP3)</w:t>
            </w:r>
            <w:r w:rsidR="00AE6B8B" w:rsidRPr="00AE6B8B">
              <w:rPr>
                <w:rFonts w:ascii="Times New Roman" w:hAnsi="Times New Roman" w:cs="Times New Roman"/>
                <w:sz w:val="16"/>
                <w:szCs w:val="16"/>
              </w:rPr>
              <w:t>.</w:t>
            </w:r>
            <w:r w:rsidR="00CE1B17">
              <w:rPr>
                <w:rFonts w:ascii="Times New Roman" w:hAnsi="Times New Roman" w:cs="Times New Roman"/>
                <w:sz w:val="16"/>
                <w:szCs w:val="16"/>
              </w:rPr>
              <w:t xml:space="preserve"> </w:t>
            </w:r>
          </w:p>
          <w:tbl>
            <w:tblPr>
              <w:tblStyle w:val="Tabela-Siatka"/>
              <w:tblW w:w="7622" w:type="dxa"/>
              <w:tblLayout w:type="fixed"/>
              <w:tblLook w:val="04A0" w:firstRow="1" w:lastRow="0" w:firstColumn="1" w:lastColumn="0" w:noHBand="0" w:noVBand="1"/>
            </w:tblPr>
            <w:tblGrid>
              <w:gridCol w:w="1238"/>
              <w:gridCol w:w="1281"/>
              <w:gridCol w:w="1276"/>
              <w:gridCol w:w="1276"/>
              <w:gridCol w:w="1275"/>
              <w:gridCol w:w="1276"/>
            </w:tblGrid>
            <w:tr w:rsidR="004F41EB" w:rsidRPr="00B5006E" w14:paraId="5F882496" w14:textId="77777777" w:rsidTr="00694876">
              <w:tc>
                <w:tcPr>
                  <w:tcW w:w="1238" w:type="dxa"/>
                  <w:shd w:val="clear" w:color="auto" w:fill="DBDBDB" w:themeFill="accent3" w:themeFillTint="66"/>
                  <w:vAlign w:val="center"/>
                </w:tcPr>
                <w:p w14:paraId="4B06CC30" w14:textId="77777777" w:rsidR="004F41EB" w:rsidRPr="00B5006E" w:rsidRDefault="004F41EB" w:rsidP="006B36C0">
                  <w:pPr>
                    <w:jc w:val="center"/>
                    <w:rPr>
                      <w:rFonts w:ascii="Times New Roman" w:hAnsi="Times New Roman" w:cs="Times New Roman"/>
                      <w:sz w:val="16"/>
                      <w:szCs w:val="16"/>
                    </w:rPr>
                  </w:pPr>
                  <w:r w:rsidRPr="00B5006E">
                    <w:rPr>
                      <w:rFonts w:ascii="Times New Roman" w:hAnsi="Times New Roman" w:cs="Times New Roman"/>
                      <w:b/>
                      <w:bCs/>
                      <w:sz w:val="16"/>
                      <w:szCs w:val="16"/>
                    </w:rPr>
                    <w:t>2024 r.</w:t>
                  </w:r>
                </w:p>
              </w:tc>
              <w:tc>
                <w:tcPr>
                  <w:tcW w:w="1281" w:type="dxa"/>
                  <w:shd w:val="clear" w:color="auto" w:fill="DBDBDB" w:themeFill="accent3" w:themeFillTint="66"/>
                  <w:vAlign w:val="center"/>
                </w:tcPr>
                <w:p w14:paraId="5ED41E95" w14:textId="77777777" w:rsidR="004F41EB" w:rsidRPr="00B5006E" w:rsidRDefault="004F41EB" w:rsidP="006B36C0">
                  <w:pPr>
                    <w:jc w:val="center"/>
                    <w:rPr>
                      <w:rFonts w:ascii="Times New Roman" w:hAnsi="Times New Roman" w:cs="Times New Roman"/>
                      <w:sz w:val="16"/>
                      <w:szCs w:val="16"/>
                    </w:rPr>
                  </w:pPr>
                  <w:r w:rsidRPr="00B5006E">
                    <w:rPr>
                      <w:rFonts w:ascii="Times New Roman" w:hAnsi="Times New Roman" w:cs="Times New Roman"/>
                      <w:b/>
                      <w:bCs/>
                      <w:sz w:val="16"/>
                      <w:szCs w:val="16"/>
                    </w:rPr>
                    <w:t>2025 r.</w:t>
                  </w:r>
                </w:p>
              </w:tc>
              <w:tc>
                <w:tcPr>
                  <w:tcW w:w="1276" w:type="dxa"/>
                  <w:shd w:val="clear" w:color="auto" w:fill="DBDBDB" w:themeFill="accent3" w:themeFillTint="66"/>
                  <w:vAlign w:val="center"/>
                </w:tcPr>
                <w:p w14:paraId="0AA62F78" w14:textId="77777777" w:rsidR="004F41EB" w:rsidRPr="00B5006E" w:rsidRDefault="004F41EB" w:rsidP="006B36C0">
                  <w:pPr>
                    <w:jc w:val="center"/>
                    <w:rPr>
                      <w:rFonts w:ascii="Times New Roman" w:hAnsi="Times New Roman" w:cs="Times New Roman"/>
                      <w:sz w:val="16"/>
                      <w:szCs w:val="16"/>
                    </w:rPr>
                  </w:pPr>
                  <w:r w:rsidRPr="00B5006E">
                    <w:rPr>
                      <w:rFonts w:ascii="Times New Roman" w:hAnsi="Times New Roman" w:cs="Times New Roman"/>
                      <w:b/>
                      <w:bCs/>
                      <w:sz w:val="16"/>
                      <w:szCs w:val="16"/>
                    </w:rPr>
                    <w:t>2026 r.</w:t>
                  </w:r>
                </w:p>
              </w:tc>
              <w:tc>
                <w:tcPr>
                  <w:tcW w:w="1276" w:type="dxa"/>
                  <w:shd w:val="clear" w:color="auto" w:fill="DBDBDB" w:themeFill="accent3" w:themeFillTint="66"/>
                  <w:vAlign w:val="center"/>
                </w:tcPr>
                <w:p w14:paraId="2477D34E" w14:textId="77777777" w:rsidR="004F41EB" w:rsidRPr="00B5006E" w:rsidRDefault="004F41EB" w:rsidP="006B36C0">
                  <w:pPr>
                    <w:jc w:val="center"/>
                    <w:rPr>
                      <w:rFonts w:ascii="Times New Roman" w:hAnsi="Times New Roman" w:cs="Times New Roman"/>
                      <w:sz w:val="16"/>
                      <w:szCs w:val="16"/>
                    </w:rPr>
                  </w:pPr>
                  <w:r w:rsidRPr="00B5006E">
                    <w:rPr>
                      <w:rFonts w:ascii="Times New Roman" w:hAnsi="Times New Roman" w:cs="Times New Roman"/>
                      <w:b/>
                      <w:bCs/>
                      <w:sz w:val="16"/>
                      <w:szCs w:val="16"/>
                    </w:rPr>
                    <w:t>2027 r.</w:t>
                  </w:r>
                </w:p>
              </w:tc>
              <w:tc>
                <w:tcPr>
                  <w:tcW w:w="1275" w:type="dxa"/>
                  <w:shd w:val="clear" w:color="auto" w:fill="DBDBDB" w:themeFill="accent3" w:themeFillTint="66"/>
                  <w:vAlign w:val="center"/>
                </w:tcPr>
                <w:p w14:paraId="23F22078" w14:textId="77777777" w:rsidR="004F41EB" w:rsidRPr="00B5006E" w:rsidRDefault="004F41EB" w:rsidP="006B36C0">
                  <w:pPr>
                    <w:jc w:val="center"/>
                    <w:rPr>
                      <w:rFonts w:ascii="Times New Roman" w:hAnsi="Times New Roman" w:cs="Times New Roman"/>
                      <w:sz w:val="16"/>
                      <w:szCs w:val="16"/>
                    </w:rPr>
                  </w:pPr>
                  <w:r w:rsidRPr="00B5006E">
                    <w:rPr>
                      <w:rFonts w:ascii="Times New Roman" w:hAnsi="Times New Roman" w:cs="Times New Roman"/>
                      <w:b/>
                      <w:bCs/>
                      <w:sz w:val="16"/>
                      <w:szCs w:val="16"/>
                    </w:rPr>
                    <w:t>2028 r.</w:t>
                  </w:r>
                </w:p>
              </w:tc>
              <w:tc>
                <w:tcPr>
                  <w:tcW w:w="1276" w:type="dxa"/>
                  <w:shd w:val="clear" w:color="auto" w:fill="A6A6A6" w:themeFill="background1" w:themeFillShade="A6"/>
                  <w:vAlign w:val="center"/>
                </w:tcPr>
                <w:p w14:paraId="1AD459DD" w14:textId="77777777" w:rsidR="004F41EB" w:rsidRPr="00B5006E" w:rsidRDefault="004F41EB" w:rsidP="006B36C0">
                  <w:pPr>
                    <w:jc w:val="center"/>
                    <w:rPr>
                      <w:rFonts w:ascii="Times New Roman" w:hAnsi="Times New Roman" w:cs="Times New Roman"/>
                      <w:sz w:val="16"/>
                      <w:szCs w:val="16"/>
                    </w:rPr>
                  </w:pPr>
                  <w:r w:rsidRPr="00B5006E">
                    <w:rPr>
                      <w:rFonts w:ascii="Times New Roman" w:hAnsi="Times New Roman" w:cs="Times New Roman"/>
                      <w:b/>
                      <w:bCs/>
                      <w:sz w:val="16"/>
                      <w:szCs w:val="16"/>
                    </w:rPr>
                    <w:t>2024-2028</w:t>
                  </w:r>
                </w:p>
              </w:tc>
            </w:tr>
            <w:tr w:rsidR="004F41EB" w:rsidRPr="00B5006E" w14:paraId="4FCAF1A2" w14:textId="77777777" w:rsidTr="00E94A0D">
              <w:tc>
                <w:tcPr>
                  <w:tcW w:w="1238" w:type="dxa"/>
                  <w:shd w:val="clear" w:color="auto" w:fill="auto"/>
                  <w:vAlign w:val="center"/>
                </w:tcPr>
                <w:p w14:paraId="04F07C44" w14:textId="76B091B8" w:rsidR="004F41EB" w:rsidRPr="00E4134C" w:rsidRDefault="00153452" w:rsidP="006B36C0">
                  <w:pPr>
                    <w:jc w:val="center"/>
                    <w:rPr>
                      <w:rFonts w:ascii="Times New Roman" w:hAnsi="Times New Roman" w:cs="Times New Roman"/>
                      <w:b/>
                      <w:bCs/>
                      <w:sz w:val="16"/>
                      <w:szCs w:val="16"/>
                    </w:rPr>
                  </w:pPr>
                  <w:r w:rsidRPr="00E4134C">
                    <w:rPr>
                      <w:rFonts w:ascii="Times New Roman" w:hAnsi="Times New Roman" w:cs="Times New Roman"/>
                      <w:b/>
                      <w:bCs/>
                      <w:sz w:val="16"/>
                      <w:szCs w:val="16"/>
                    </w:rPr>
                    <w:t xml:space="preserve">6 </w:t>
                  </w:r>
                  <w:r w:rsidR="000965A3" w:rsidRPr="00E4134C">
                    <w:rPr>
                      <w:rFonts w:ascii="Times New Roman" w:hAnsi="Times New Roman" w:cs="Times New Roman"/>
                      <w:b/>
                      <w:bCs/>
                      <w:sz w:val="16"/>
                      <w:szCs w:val="16"/>
                    </w:rPr>
                    <w:t>546 880,00</w:t>
                  </w:r>
                </w:p>
              </w:tc>
              <w:tc>
                <w:tcPr>
                  <w:tcW w:w="1281" w:type="dxa"/>
                  <w:shd w:val="clear" w:color="auto" w:fill="auto"/>
                  <w:vAlign w:val="center"/>
                </w:tcPr>
                <w:p w14:paraId="18DBF427" w14:textId="6ED32452" w:rsidR="004F41EB" w:rsidRPr="00E4134C" w:rsidRDefault="000965A3" w:rsidP="006B36C0">
                  <w:pPr>
                    <w:jc w:val="center"/>
                    <w:rPr>
                      <w:rFonts w:ascii="Times New Roman" w:hAnsi="Times New Roman" w:cs="Times New Roman"/>
                      <w:b/>
                      <w:bCs/>
                      <w:sz w:val="16"/>
                      <w:szCs w:val="16"/>
                    </w:rPr>
                  </w:pPr>
                  <w:r w:rsidRPr="00E4134C">
                    <w:rPr>
                      <w:rFonts w:ascii="Times New Roman" w:hAnsi="Times New Roman" w:cs="Times New Roman"/>
                      <w:b/>
                      <w:bCs/>
                      <w:sz w:val="16"/>
                      <w:szCs w:val="16"/>
                    </w:rPr>
                    <w:t>6 575 680,00</w:t>
                  </w:r>
                </w:p>
              </w:tc>
              <w:tc>
                <w:tcPr>
                  <w:tcW w:w="1276" w:type="dxa"/>
                  <w:shd w:val="clear" w:color="auto" w:fill="auto"/>
                  <w:vAlign w:val="center"/>
                </w:tcPr>
                <w:p w14:paraId="49323F87" w14:textId="35254DF5" w:rsidR="004F41EB" w:rsidRPr="00E4134C" w:rsidRDefault="000965A3" w:rsidP="006B36C0">
                  <w:pPr>
                    <w:jc w:val="center"/>
                    <w:rPr>
                      <w:rFonts w:ascii="Times New Roman" w:hAnsi="Times New Roman" w:cs="Times New Roman"/>
                      <w:b/>
                      <w:bCs/>
                      <w:sz w:val="16"/>
                      <w:szCs w:val="16"/>
                    </w:rPr>
                  </w:pPr>
                  <w:r w:rsidRPr="00E4134C">
                    <w:rPr>
                      <w:rFonts w:ascii="Times New Roman" w:hAnsi="Times New Roman" w:cs="Times New Roman"/>
                      <w:b/>
                      <w:bCs/>
                      <w:sz w:val="16"/>
                      <w:szCs w:val="16"/>
                    </w:rPr>
                    <w:t>7 055 680,00</w:t>
                  </w:r>
                </w:p>
              </w:tc>
              <w:tc>
                <w:tcPr>
                  <w:tcW w:w="1276" w:type="dxa"/>
                  <w:shd w:val="clear" w:color="auto" w:fill="auto"/>
                  <w:vAlign w:val="center"/>
                </w:tcPr>
                <w:p w14:paraId="27BC0333" w14:textId="732C86B1" w:rsidR="004F41EB" w:rsidRPr="00E4134C" w:rsidRDefault="000965A3" w:rsidP="006B36C0">
                  <w:pPr>
                    <w:jc w:val="center"/>
                    <w:rPr>
                      <w:rFonts w:ascii="Times New Roman" w:hAnsi="Times New Roman" w:cs="Times New Roman"/>
                      <w:b/>
                      <w:bCs/>
                      <w:sz w:val="16"/>
                      <w:szCs w:val="16"/>
                    </w:rPr>
                  </w:pPr>
                  <w:r w:rsidRPr="00E4134C">
                    <w:rPr>
                      <w:rFonts w:ascii="Times New Roman" w:hAnsi="Times New Roman" w:cs="Times New Roman"/>
                      <w:b/>
                      <w:bCs/>
                      <w:sz w:val="16"/>
                      <w:szCs w:val="16"/>
                    </w:rPr>
                    <w:t>7 055 680,00</w:t>
                  </w:r>
                </w:p>
              </w:tc>
              <w:tc>
                <w:tcPr>
                  <w:tcW w:w="1275" w:type="dxa"/>
                  <w:shd w:val="clear" w:color="auto" w:fill="auto"/>
                  <w:vAlign w:val="center"/>
                </w:tcPr>
                <w:p w14:paraId="72D3773E" w14:textId="0E383A93" w:rsidR="004F41EB" w:rsidRPr="00E4134C" w:rsidRDefault="000965A3" w:rsidP="006B36C0">
                  <w:pPr>
                    <w:jc w:val="center"/>
                    <w:rPr>
                      <w:rFonts w:ascii="Times New Roman" w:hAnsi="Times New Roman" w:cs="Times New Roman"/>
                      <w:b/>
                      <w:bCs/>
                      <w:sz w:val="16"/>
                      <w:szCs w:val="16"/>
                    </w:rPr>
                  </w:pPr>
                  <w:r w:rsidRPr="00E4134C">
                    <w:rPr>
                      <w:rFonts w:ascii="Times New Roman" w:hAnsi="Times New Roman" w:cs="Times New Roman"/>
                      <w:b/>
                      <w:bCs/>
                      <w:sz w:val="16"/>
                      <w:szCs w:val="16"/>
                    </w:rPr>
                    <w:t>7 055 680,00</w:t>
                  </w:r>
                </w:p>
              </w:tc>
              <w:tc>
                <w:tcPr>
                  <w:tcW w:w="1276" w:type="dxa"/>
                  <w:shd w:val="clear" w:color="auto" w:fill="BFBFBF" w:themeFill="background1" w:themeFillShade="BF"/>
                  <w:vAlign w:val="center"/>
                </w:tcPr>
                <w:p w14:paraId="35927CCF" w14:textId="1E2BE010" w:rsidR="004F41EB" w:rsidRPr="00E4134C" w:rsidRDefault="000965A3" w:rsidP="006B36C0">
                  <w:pPr>
                    <w:jc w:val="center"/>
                    <w:rPr>
                      <w:rFonts w:ascii="Times New Roman" w:hAnsi="Times New Roman" w:cs="Times New Roman"/>
                      <w:b/>
                      <w:bCs/>
                      <w:sz w:val="16"/>
                      <w:szCs w:val="16"/>
                    </w:rPr>
                  </w:pPr>
                  <w:r w:rsidRPr="00E4134C">
                    <w:rPr>
                      <w:rFonts w:ascii="Times New Roman" w:hAnsi="Times New Roman" w:cs="Times New Roman"/>
                      <w:b/>
                      <w:bCs/>
                      <w:sz w:val="16"/>
                      <w:szCs w:val="16"/>
                    </w:rPr>
                    <w:t>34 289 600,00</w:t>
                  </w:r>
                </w:p>
              </w:tc>
            </w:tr>
            <w:tr w:rsidR="005277FB" w:rsidRPr="00B5006E" w14:paraId="1A8B9976" w14:textId="77777777" w:rsidTr="00E94A0D">
              <w:tc>
                <w:tcPr>
                  <w:tcW w:w="7622" w:type="dxa"/>
                  <w:gridSpan w:val="6"/>
                  <w:shd w:val="clear" w:color="auto" w:fill="auto"/>
                </w:tcPr>
                <w:p w14:paraId="5BDE24A3" w14:textId="30E1460E" w:rsidR="005277FB" w:rsidRPr="001A4147" w:rsidRDefault="005277FB" w:rsidP="004F41EB">
                  <w:pPr>
                    <w:jc w:val="both"/>
                    <w:rPr>
                      <w:rFonts w:ascii="Times New Roman" w:hAnsi="Times New Roman" w:cs="Times New Roman"/>
                      <w:sz w:val="16"/>
                      <w:szCs w:val="16"/>
                    </w:rPr>
                  </w:pPr>
                  <w:r w:rsidRPr="001A4147">
                    <w:rPr>
                      <w:rFonts w:ascii="Times New Roman" w:hAnsi="Times New Roman" w:cs="Times New Roman"/>
                      <w:sz w:val="16"/>
                      <w:szCs w:val="16"/>
                    </w:rPr>
                    <w:t>Kalkulacja</w:t>
                  </w:r>
                  <w:r w:rsidR="00585671" w:rsidRPr="001A4147">
                    <w:rPr>
                      <w:rFonts w:ascii="Times New Roman" w:hAnsi="Times New Roman" w:cs="Times New Roman"/>
                      <w:sz w:val="16"/>
                      <w:szCs w:val="16"/>
                    </w:rPr>
                    <w:t xml:space="preserve"> sumaryczna</w:t>
                  </w:r>
                  <w:r w:rsidRPr="001A4147">
                    <w:rPr>
                      <w:rFonts w:ascii="Times New Roman" w:hAnsi="Times New Roman" w:cs="Times New Roman"/>
                      <w:sz w:val="16"/>
                      <w:szCs w:val="16"/>
                    </w:rPr>
                    <w:t xml:space="preserve"> zgodna z kalkulacją dla poszczególnych grup pracowników</w:t>
                  </w:r>
                </w:p>
                <w:p w14:paraId="444EB53C" w14:textId="2BF472A0" w:rsidR="005277FB" w:rsidRPr="001A4147" w:rsidRDefault="005277FB" w:rsidP="004F41EB">
                  <w:pPr>
                    <w:jc w:val="both"/>
                    <w:rPr>
                      <w:rFonts w:ascii="Times New Roman" w:hAnsi="Times New Roman" w:cs="Times New Roman"/>
                      <w:sz w:val="16"/>
                      <w:szCs w:val="16"/>
                    </w:rPr>
                  </w:pPr>
                </w:p>
              </w:tc>
            </w:tr>
          </w:tbl>
          <w:p w14:paraId="71DC36AF" w14:textId="62AD0F49" w:rsidR="00AF5175" w:rsidRPr="004B0A7E" w:rsidRDefault="00AF5175" w:rsidP="00AE0E3D">
            <w:pPr>
              <w:spacing w:before="120" w:after="120"/>
              <w:jc w:val="both"/>
              <w:rPr>
                <w:rFonts w:ascii="Times New Roman" w:hAnsi="Times New Roman" w:cs="Times New Roman"/>
                <w:sz w:val="16"/>
                <w:szCs w:val="16"/>
                <w:u w:val="single"/>
              </w:rPr>
            </w:pPr>
            <w:r w:rsidRPr="004B0A7E">
              <w:rPr>
                <w:rFonts w:ascii="Times New Roman" w:hAnsi="Times New Roman" w:cs="Times New Roman"/>
                <w:sz w:val="16"/>
                <w:szCs w:val="16"/>
                <w:u w:val="single"/>
              </w:rPr>
              <w:t>Zasoby merytoryczne</w:t>
            </w:r>
          </w:p>
          <w:p w14:paraId="6319F76F" w14:textId="06C4E3C2" w:rsidR="00AE3B57" w:rsidRPr="004B0A7E" w:rsidRDefault="008F6A94" w:rsidP="00AE0E3D">
            <w:pPr>
              <w:spacing w:before="120" w:after="120"/>
              <w:jc w:val="both"/>
              <w:rPr>
                <w:rFonts w:ascii="Times New Roman" w:hAnsi="Times New Roman" w:cs="Times New Roman"/>
                <w:sz w:val="16"/>
                <w:szCs w:val="16"/>
              </w:rPr>
            </w:pPr>
            <w:r w:rsidRPr="004B0A7E">
              <w:rPr>
                <w:rFonts w:ascii="Times New Roman" w:hAnsi="Times New Roman" w:cs="Times New Roman"/>
                <w:sz w:val="16"/>
                <w:szCs w:val="16"/>
              </w:rPr>
              <w:t xml:space="preserve">Przewiduje się, że w okresie utrzymania </w:t>
            </w:r>
            <w:r w:rsidR="00124EAE" w:rsidRPr="004B0A7E">
              <w:rPr>
                <w:rFonts w:ascii="Times New Roman" w:hAnsi="Times New Roman" w:cs="Times New Roman"/>
                <w:sz w:val="16"/>
                <w:szCs w:val="16"/>
              </w:rPr>
              <w:t>trwałości</w:t>
            </w:r>
            <w:r w:rsidRPr="004B0A7E">
              <w:rPr>
                <w:rFonts w:ascii="Times New Roman" w:hAnsi="Times New Roman" w:cs="Times New Roman"/>
                <w:sz w:val="16"/>
                <w:szCs w:val="16"/>
              </w:rPr>
              <w:t xml:space="preserve"> projektu niezbędne będzie zapewnienie ok. 12 etatów </w:t>
            </w:r>
            <w:r w:rsidR="00652769" w:rsidRPr="004B0A7E">
              <w:rPr>
                <w:rFonts w:ascii="Times New Roman" w:hAnsi="Times New Roman" w:cs="Times New Roman"/>
                <w:sz w:val="16"/>
                <w:szCs w:val="16"/>
              </w:rPr>
              <w:t>(</w:t>
            </w:r>
            <w:r w:rsidR="009F12B7" w:rsidRPr="004B0A7E">
              <w:rPr>
                <w:rFonts w:ascii="Times New Roman" w:hAnsi="Times New Roman" w:cs="Times New Roman"/>
                <w:sz w:val="16"/>
                <w:szCs w:val="16"/>
              </w:rPr>
              <w:t xml:space="preserve">stanowiska na poziomie starszego specjalisty posiadającego specjalistyczną wiedzę w zakresie BSP oraz funkcjonowania usług) </w:t>
            </w:r>
            <w:r w:rsidRPr="004B0A7E">
              <w:rPr>
                <w:rFonts w:ascii="Times New Roman" w:hAnsi="Times New Roman" w:cs="Times New Roman"/>
                <w:sz w:val="16"/>
                <w:szCs w:val="16"/>
              </w:rPr>
              <w:t>do zapewnienia funkcjonowania usług, w tym przede wszystkim</w:t>
            </w:r>
            <w:r w:rsidR="00740206" w:rsidRPr="004B0A7E">
              <w:rPr>
                <w:rFonts w:ascii="Times New Roman" w:hAnsi="Times New Roman" w:cs="Times New Roman"/>
                <w:sz w:val="16"/>
                <w:szCs w:val="16"/>
              </w:rPr>
              <w:t xml:space="preserve"> specjalistów z zakresu poszczególnych usług</w:t>
            </w:r>
            <w:r w:rsidR="007E6717" w:rsidRPr="004B0A7E">
              <w:rPr>
                <w:rFonts w:ascii="Times New Roman" w:hAnsi="Times New Roman" w:cs="Times New Roman"/>
                <w:sz w:val="16"/>
                <w:szCs w:val="16"/>
              </w:rPr>
              <w:t xml:space="preserve"> oraz personelu operacyjnego odpowiedzialnego </w:t>
            </w:r>
            <w:bookmarkStart w:id="3" w:name="_Hlk106087028"/>
            <w:r w:rsidR="007E6717" w:rsidRPr="004B0A7E">
              <w:rPr>
                <w:rFonts w:ascii="Times New Roman" w:hAnsi="Times New Roman" w:cs="Times New Roman"/>
                <w:sz w:val="16"/>
                <w:szCs w:val="16"/>
              </w:rPr>
              <w:t xml:space="preserve">za </w:t>
            </w:r>
            <w:r w:rsidR="00514664" w:rsidRPr="004B0A7E">
              <w:rPr>
                <w:rFonts w:ascii="Times New Roman" w:hAnsi="Times New Roman" w:cs="Times New Roman"/>
                <w:sz w:val="16"/>
                <w:szCs w:val="16"/>
              </w:rPr>
              <w:t>manualne procedowanie planów misji</w:t>
            </w:r>
            <w:r w:rsidR="00124EAE" w:rsidRPr="004B0A7E">
              <w:rPr>
                <w:rFonts w:ascii="Times New Roman" w:hAnsi="Times New Roman" w:cs="Times New Roman"/>
                <w:sz w:val="16"/>
                <w:szCs w:val="16"/>
              </w:rPr>
              <w:t>,</w:t>
            </w:r>
            <w:r w:rsidR="00514664" w:rsidRPr="004B0A7E">
              <w:rPr>
                <w:rFonts w:ascii="Times New Roman" w:hAnsi="Times New Roman" w:cs="Times New Roman"/>
                <w:sz w:val="16"/>
                <w:szCs w:val="16"/>
              </w:rPr>
              <w:t xml:space="preserve"> które nie przeszły automatycznie procesu walidacji oraz za </w:t>
            </w:r>
            <w:r w:rsidR="007E6717" w:rsidRPr="004B0A7E">
              <w:rPr>
                <w:rFonts w:ascii="Times New Roman" w:hAnsi="Times New Roman" w:cs="Times New Roman"/>
                <w:sz w:val="16"/>
                <w:szCs w:val="16"/>
              </w:rPr>
              <w:t>monitorowanie misji</w:t>
            </w:r>
            <w:r w:rsidR="00514664" w:rsidRPr="004B0A7E">
              <w:rPr>
                <w:rFonts w:ascii="Times New Roman" w:hAnsi="Times New Roman" w:cs="Times New Roman"/>
                <w:sz w:val="16"/>
                <w:szCs w:val="16"/>
              </w:rPr>
              <w:t xml:space="preserve"> </w:t>
            </w:r>
            <w:r w:rsidR="007F7E2A" w:rsidRPr="004B0A7E">
              <w:rPr>
                <w:rFonts w:ascii="Times New Roman" w:hAnsi="Times New Roman" w:cs="Times New Roman"/>
                <w:sz w:val="16"/>
                <w:szCs w:val="16"/>
              </w:rPr>
              <w:t xml:space="preserve">realizowanych </w:t>
            </w:r>
            <w:r w:rsidR="00514664" w:rsidRPr="004B0A7E">
              <w:rPr>
                <w:rFonts w:ascii="Times New Roman" w:hAnsi="Times New Roman" w:cs="Times New Roman"/>
                <w:sz w:val="16"/>
                <w:szCs w:val="16"/>
              </w:rPr>
              <w:t>w</w:t>
            </w:r>
            <w:r w:rsidR="007F7E2A" w:rsidRPr="004B0A7E">
              <w:rPr>
                <w:rFonts w:ascii="Times New Roman" w:hAnsi="Times New Roman" w:cs="Times New Roman"/>
                <w:sz w:val="16"/>
                <w:szCs w:val="16"/>
              </w:rPr>
              <w:t xml:space="preserve"> tych</w:t>
            </w:r>
            <w:r w:rsidR="00514664" w:rsidRPr="004B0A7E">
              <w:rPr>
                <w:rFonts w:ascii="Times New Roman" w:hAnsi="Times New Roman" w:cs="Times New Roman"/>
                <w:sz w:val="16"/>
                <w:szCs w:val="16"/>
              </w:rPr>
              <w:t xml:space="preserve"> lokalizacjach, w k</w:t>
            </w:r>
            <w:r w:rsidR="00124EAE" w:rsidRPr="004B0A7E">
              <w:rPr>
                <w:rFonts w:ascii="Times New Roman" w:hAnsi="Times New Roman" w:cs="Times New Roman"/>
                <w:sz w:val="16"/>
                <w:szCs w:val="16"/>
              </w:rPr>
              <w:t>tórych wdrożono usługę projektu</w:t>
            </w:r>
            <w:r w:rsidRPr="004B0A7E">
              <w:rPr>
                <w:rFonts w:ascii="Times New Roman" w:hAnsi="Times New Roman" w:cs="Times New Roman"/>
                <w:sz w:val="16"/>
                <w:szCs w:val="16"/>
              </w:rPr>
              <w:t>.</w:t>
            </w:r>
          </w:p>
          <w:bookmarkEnd w:id="3"/>
          <w:p w14:paraId="19D7ED75" w14:textId="199C7B92" w:rsidR="00AE3B57" w:rsidRPr="00AE0E3D" w:rsidRDefault="00AE3B57" w:rsidP="00AE0E3D">
            <w:pPr>
              <w:spacing w:before="120" w:after="120"/>
              <w:jc w:val="both"/>
              <w:rPr>
                <w:rFonts w:ascii="Times New Roman" w:hAnsi="Times New Roman" w:cs="Times New Roman"/>
                <w:sz w:val="16"/>
                <w:szCs w:val="16"/>
              </w:rPr>
            </w:pPr>
            <w:r w:rsidRPr="00AE0E3D">
              <w:rPr>
                <w:rFonts w:ascii="Times New Roman" w:hAnsi="Times New Roman" w:cs="Times New Roman"/>
                <w:sz w:val="16"/>
                <w:szCs w:val="16"/>
              </w:rPr>
              <w:t>W związku z koniecznością ograniczenia kosztów utrzymania</w:t>
            </w:r>
            <w:r w:rsidR="00AE0E3D" w:rsidRPr="00AE0E3D">
              <w:rPr>
                <w:rFonts w:ascii="Times New Roman" w:hAnsi="Times New Roman" w:cs="Times New Roman"/>
                <w:sz w:val="16"/>
                <w:szCs w:val="16"/>
              </w:rPr>
              <w:t xml:space="preserve"> trwałości projektu</w:t>
            </w:r>
            <w:r w:rsidRPr="00AE0E3D">
              <w:rPr>
                <w:rFonts w:ascii="Times New Roman" w:hAnsi="Times New Roman" w:cs="Times New Roman"/>
                <w:sz w:val="16"/>
                <w:szCs w:val="16"/>
              </w:rPr>
              <w:t xml:space="preserve"> </w:t>
            </w:r>
            <w:r w:rsidR="007232E9" w:rsidRPr="00AE0E3D">
              <w:rPr>
                <w:rFonts w:ascii="Times New Roman" w:hAnsi="Times New Roman" w:cs="Times New Roman"/>
                <w:sz w:val="16"/>
                <w:szCs w:val="16"/>
              </w:rPr>
              <w:t xml:space="preserve">dokonano redukcji niezbędnego personelu do </w:t>
            </w:r>
            <w:r w:rsidR="007D163C" w:rsidRPr="00AE0E3D">
              <w:rPr>
                <w:rFonts w:ascii="Times New Roman" w:hAnsi="Times New Roman" w:cs="Times New Roman"/>
                <w:sz w:val="16"/>
                <w:szCs w:val="16"/>
              </w:rPr>
              <w:t xml:space="preserve">7 - </w:t>
            </w:r>
            <w:r w:rsidR="007232E9" w:rsidRPr="00AE0E3D">
              <w:rPr>
                <w:rFonts w:ascii="Times New Roman" w:hAnsi="Times New Roman" w:cs="Times New Roman"/>
                <w:sz w:val="16"/>
                <w:szCs w:val="16"/>
              </w:rPr>
              <w:t>9 etatów</w:t>
            </w:r>
            <w:r w:rsidR="007D163C" w:rsidRPr="00AE0E3D">
              <w:rPr>
                <w:rFonts w:ascii="Times New Roman" w:hAnsi="Times New Roman" w:cs="Times New Roman"/>
                <w:sz w:val="16"/>
                <w:szCs w:val="16"/>
              </w:rPr>
              <w:t xml:space="preserve"> (w zależności od roku)</w:t>
            </w:r>
            <w:r w:rsidR="00885108">
              <w:rPr>
                <w:rFonts w:ascii="Times New Roman" w:hAnsi="Times New Roman" w:cs="Times New Roman"/>
                <w:sz w:val="16"/>
                <w:szCs w:val="16"/>
              </w:rPr>
              <w:t>.</w:t>
            </w:r>
          </w:p>
          <w:p w14:paraId="69F980BB" w14:textId="669740E5" w:rsidR="00AF5175" w:rsidRPr="004B0A7E" w:rsidRDefault="00F8066C" w:rsidP="00AE0E3D">
            <w:pPr>
              <w:spacing w:before="120" w:after="120"/>
              <w:jc w:val="both"/>
              <w:rPr>
                <w:rFonts w:ascii="Times New Roman" w:hAnsi="Times New Roman" w:cs="Times New Roman"/>
                <w:sz w:val="16"/>
                <w:szCs w:val="16"/>
              </w:rPr>
            </w:pPr>
            <w:r w:rsidRPr="004B0A7E">
              <w:rPr>
                <w:rFonts w:ascii="Times New Roman" w:hAnsi="Times New Roman" w:cs="Times New Roman"/>
                <w:sz w:val="16"/>
                <w:szCs w:val="16"/>
              </w:rPr>
              <w:t>Średnioroczny</w:t>
            </w:r>
            <w:r w:rsidR="00205F90" w:rsidRPr="004B0A7E">
              <w:rPr>
                <w:rFonts w:ascii="Times New Roman" w:hAnsi="Times New Roman" w:cs="Times New Roman"/>
                <w:sz w:val="16"/>
                <w:szCs w:val="16"/>
              </w:rPr>
              <w:t xml:space="preserve"> </w:t>
            </w:r>
            <w:r w:rsidR="008F6A94" w:rsidRPr="004B0A7E">
              <w:rPr>
                <w:rFonts w:ascii="Times New Roman" w:hAnsi="Times New Roman" w:cs="Times New Roman"/>
                <w:sz w:val="16"/>
                <w:szCs w:val="16"/>
              </w:rPr>
              <w:t>koszt obsługi oszacowano w oparciu o stawki wraz z kosztami pra</w:t>
            </w:r>
            <w:r w:rsidR="00AE0E3D">
              <w:rPr>
                <w:rFonts w:ascii="Times New Roman" w:hAnsi="Times New Roman" w:cs="Times New Roman"/>
                <w:sz w:val="16"/>
                <w:szCs w:val="16"/>
              </w:rPr>
              <w:t>codawcy zgodne z obowiązującym</w:t>
            </w:r>
            <w:r w:rsidR="00DF6752">
              <w:rPr>
                <w:rFonts w:ascii="Times New Roman" w:hAnsi="Times New Roman" w:cs="Times New Roman"/>
                <w:sz w:val="16"/>
                <w:szCs w:val="16"/>
              </w:rPr>
              <w:t xml:space="preserve"> w PAŻP </w:t>
            </w:r>
            <w:r w:rsidR="00AE0E3D">
              <w:rPr>
                <w:rFonts w:ascii="Times New Roman" w:hAnsi="Times New Roman" w:cs="Times New Roman"/>
                <w:sz w:val="16"/>
                <w:szCs w:val="16"/>
              </w:rPr>
              <w:t xml:space="preserve"> r</w:t>
            </w:r>
            <w:r w:rsidR="008F6A94" w:rsidRPr="004B0A7E">
              <w:rPr>
                <w:rFonts w:ascii="Times New Roman" w:hAnsi="Times New Roman" w:cs="Times New Roman"/>
                <w:sz w:val="16"/>
                <w:szCs w:val="16"/>
              </w:rPr>
              <w:t xml:space="preserve">egulaminem wynagradzania na </w:t>
            </w:r>
            <w:r w:rsidR="001D6BE2" w:rsidRPr="004B0A7E">
              <w:rPr>
                <w:rFonts w:ascii="Times New Roman" w:hAnsi="Times New Roman" w:cs="Times New Roman"/>
                <w:sz w:val="16"/>
                <w:szCs w:val="16"/>
              </w:rPr>
              <w:t>kwotę</w:t>
            </w:r>
            <w:r w:rsidR="008F6A94" w:rsidRPr="004B0A7E">
              <w:rPr>
                <w:rFonts w:ascii="Times New Roman" w:hAnsi="Times New Roman" w:cs="Times New Roman"/>
                <w:sz w:val="16"/>
                <w:szCs w:val="16"/>
              </w:rPr>
              <w:t xml:space="preserve"> ok. </w:t>
            </w:r>
            <w:r w:rsidR="005D71AF" w:rsidRPr="004B0A7E">
              <w:rPr>
                <w:rFonts w:ascii="Times New Roman" w:hAnsi="Times New Roman" w:cs="Times New Roman"/>
                <w:sz w:val="16"/>
                <w:szCs w:val="16"/>
              </w:rPr>
              <w:t>2,</w:t>
            </w:r>
            <w:r w:rsidR="004B0A7E" w:rsidRPr="004B0A7E">
              <w:rPr>
                <w:rFonts w:ascii="Times New Roman" w:hAnsi="Times New Roman" w:cs="Times New Roman"/>
                <w:sz w:val="16"/>
                <w:szCs w:val="16"/>
              </w:rPr>
              <w:t>2</w:t>
            </w:r>
            <w:r w:rsidR="00AE0E3D">
              <w:rPr>
                <w:rFonts w:ascii="Times New Roman" w:hAnsi="Times New Roman" w:cs="Times New Roman"/>
                <w:sz w:val="16"/>
                <w:szCs w:val="16"/>
              </w:rPr>
              <w:t xml:space="preserve"> mln zł</w:t>
            </w:r>
            <w:r w:rsidR="008F6A94" w:rsidRPr="004B0A7E">
              <w:rPr>
                <w:rFonts w:ascii="Times New Roman" w:hAnsi="Times New Roman" w:cs="Times New Roman"/>
                <w:sz w:val="16"/>
                <w:szCs w:val="16"/>
              </w:rPr>
              <w:t xml:space="preserve"> rocznie</w:t>
            </w:r>
            <w:r w:rsidRPr="004B0A7E">
              <w:rPr>
                <w:rFonts w:ascii="Times New Roman" w:hAnsi="Times New Roman" w:cs="Times New Roman"/>
                <w:sz w:val="16"/>
                <w:szCs w:val="16"/>
              </w:rPr>
              <w:t>, przy czym przewiduje się, że w 3., 4. i 5</w:t>
            </w:r>
            <w:r w:rsidR="00124EAE" w:rsidRPr="004B0A7E">
              <w:rPr>
                <w:rFonts w:ascii="Times New Roman" w:hAnsi="Times New Roman" w:cs="Times New Roman"/>
                <w:sz w:val="16"/>
                <w:szCs w:val="16"/>
              </w:rPr>
              <w:t>. roku okresu utrzymania trwałości</w:t>
            </w:r>
            <w:r w:rsidRPr="004B0A7E">
              <w:rPr>
                <w:rFonts w:ascii="Times New Roman" w:hAnsi="Times New Roman" w:cs="Times New Roman"/>
                <w:sz w:val="16"/>
                <w:szCs w:val="16"/>
              </w:rPr>
              <w:t xml:space="preserve"> projektu</w:t>
            </w:r>
            <w:r w:rsidR="007F7E2A" w:rsidRPr="004B0A7E">
              <w:rPr>
                <w:rFonts w:ascii="Times New Roman" w:hAnsi="Times New Roman" w:cs="Times New Roman"/>
                <w:sz w:val="16"/>
                <w:szCs w:val="16"/>
              </w:rPr>
              <w:t>, w związku ze wzrostem popytu na usługę,</w:t>
            </w:r>
            <w:r w:rsidRPr="004B0A7E">
              <w:rPr>
                <w:rFonts w:ascii="Times New Roman" w:hAnsi="Times New Roman" w:cs="Times New Roman"/>
                <w:sz w:val="16"/>
                <w:szCs w:val="16"/>
              </w:rPr>
              <w:t xml:space="preserve"> niezbędne będzie zwiększenie</w:t>
            </w:r>
            <w:r w:rsidR="007F7E2A" w:rsidRPr="004B0A7E">
              <w:rPr>
                <w:rFonts w:ascii="Times New Roman" w:hAnsi="Times New Roman" w:cs="Times New Roman"/>
                <w:sz w:val="16"/>
                <w:szCs w:val="16"/>
              </w:rPr>
              <w:t xml:space="preserve"> obsady do bieżącej obsługi klientów systemu, co wpłynie na zwiększenie</w:t>
            </w:r>
            <w:r w:rsidRPr="004B0A7E">
              <w:rPr>
                <w:rFonts w:ascii="Times New Roman" w:hAnsi="Times New Roman" w:cs="Times New Roman"/>
                <w:sz w:val="16"/>
                <w:szCs w:val="16"/>
              </w:rPr>
              <w:t xml:space="preserve"> kosztów obsługi merytorycznej</w:t>
            </w:r>
            <w:r w:rsidR="007F7E2A" w:rsidRPr="004B0A7E">
              <w:rPr>
                <w:rFonts w:ascii="Times New Roman" w:hAnsi="Times New Roman" w:cs="Times New Roman"/>
                <w:sz w:val="16"/>
                <w:szCs w:val="16"/>
              </w:rPr>
              <w:t>.</w:t>
            </w:r>
            <w:bookmarkStart w:id="4" w:name="_GoBack"/>
            <w:bookmarkEnd w:id="4"/>
          </w:p>
          <w:p w14:paraId="1AD52332" w14:textId="7DB3FB25" w:rsidR="004F41EB" w:rsidRPr="00B5006E" w:rsidRDefault="004F41EB" w:rsidP="00BD4CB1">
            <w:pPr>
              <w:jc w:val="both"/>
              <w:rPr>
                <w:rFonts w:ascii="Times New Roman" w:hAnsi="Times New Roman" w:cs="Times New Roman"/>
                <w:sz w:val="16"/>
                <w:szCs w:val="16"/>
              </w:rPr>
            </w:pPr>
          </w:p>
          <w:tbl>
            <w:tblPr>
              <w:tblStyle w:val="Tabela-Siatka"/>
              <w:tblW w:w="7622" w:type="dxa"/>
              <w:tblLayout w:type="fixed"/>
              <w:tblLook w:val="04A0" w:firstRow="1" w:lastRow="0" w:firstColumn="1" w:lastColumn="0" w:noHBand="0" w:noVBand="1"/>
            </w:tblPr>
            <w:tblGrid>
              <w:gridCol w:w="1256"/>
              <w:gridCol w:w="1256"/>
              <w:gridCol w:w="1256"/>
              <w:gridCol w:w="1256"/>
              <w:gridCol w:w="1256"/>
              <w:gridCol w:w="1342"/>
            </w:tblGrid>
            <w:tr w:rsidR="00335979" w:rsidRPr="00B5006E" w14:paraId="415A64D2" w14:textId="77777777" w:rsidTr="00694876">
              <w:tc>
                <w:tcPr>
                  <w:tcW w:w="1256" w:type="dxa"/>
                  <w:tcBorders>
                    <w:bottom w:val="single" w:sz="4" w:space="0" w:color="auto"/>
                  </w:tcBorders>
                  <w:shd w:val="clear" w:color="auto" w:fill="DBDBDB" w:themeFill="accent3" w:themeFillTint="66"/>
                  <w:vAlign w:val="center"/>
                </w:tcPr>
                <w:p w14:paraId="4AA0EE81" w14:textId="77777777" w:rsidR="004F41EB" w:rsidRPr="00B5006E" w:rsidRDefault="004F41EB" w:rsidP="00A45302">
                  <w:pPr>
                    <w:jc w:val="center"/>
                    <w:rPr>
                      <w:rFonts w:ascii="Times New Roman" w:hAnsi="Times New Roman" w:cs="Times New Roman"/>
                      <w:sz w:val="16"/>
                      <w:szCs w:val="16"/>
                    </w:rPr>
                  </w:pPr>
                  <w:r w:rsidRPr="00B5006E">
                    <w:rPr>
                      <w:rFonts w:ascii="Times New Roman" w:hAnsi="Times New Roman" w:cs="Times New Roman"/>
                      <w:b/>
                      <w:bCs/>
                      <w:sz w:val="16"/>
                      <w:szCs w:val="16"/>
                    </w:rPr>
                    <w:t>2024 r.</w:t>
                  </w:r>
                </w:p>
              </w:tc>
              <w:tc>
                <w:tcPr>
                  <w:tcW w:w="1256" w:type="dxa"/>
                  <w:tcBorders>
                    <w:bottom w:val="single" w:sz="4" w:space="0" w:color="auto"/>
                  </w:tcBorders>
                  <w:shd w:val="clear" w:color="auto" w:fill="DBDBDB" w:themeFill="accent3" w:themeFillTint="66"/>
                  <w:vAlign w:val="center"/>
                </w:tcPr>
                <w:p w14:paraId="1AEAB6FD" w14:textId="77777777" w:rsidR="004F41EB" w:rsidRPr="00B5006E" w:rsidRDefault="004F41EB" w:rsidP="00A45302">
                  <w:pPr>
                    <w:jc w:val="center"/>
                    <w:rPr>
                      <w:rFonts w:ascii="Times New Roman" w:hAnsi="Times New Roman" w:cs="Times New Roman"/>
                      <w:sz w:val="16"/>
                      <w:szCs w:val="16"/>
                    </w:rPr>
                  </w:pPr>
                  <w:r w:rsidRPr="00B5006E">
                    <w:rPr>
                      <w:rFonts w:ascii="Times New Roman" w:hAnsi="Times New Roman" w:cs="Times New Roman"/>
                      <w:b/>
                      <w:bCs/>
                      <w:sz w:val="16"/>
                      <w:szCs w:val="16"/>
                    </w:rPr>
                    <w:t>2025 r.</w:t>
                  </w:r>
                </w:p>
              </w:tc>
              <w:tc>
                <w:tcPr>
                  <w:tcW w:w="1256" w:type="dxa"/>
                  <w:tcBorders>
                    <w:bottom w:val="single" w:sz="4" w:space="0" w:color="auto"/>
                  </w:tcBorders>
                  <w:shd w:val="clear" w:color="auto" w:fill="DBDBDB" w:themeFill="accent3" w:themeFillTint="66"/>
                  <w:vAlign w:val="center"/>
                </w:tcPr>
                <w:p w14:paraId="397ABF82" w14:textId="77777777" w:rsidR="004F41EB" w:rsidRPr="00B5006E" w:rsidRDefault="004F41EB" w:rsidP="00A45302">
                  <w:pPr>
                    <w:jc w:val="center"/>
                    <w:rPr>
                      <w:rFonts w:ascii="Times New Roman" w:hAnsi="Times New Roman" w:cs="Times New Roman"/>
                      <w:sz w:val="16"/>
                      <w:szCs w:val="16"/>
                    </w:rPr>
                  </w:pPr>
                  <w:r w:rsidRPr="00B5006E">
                    <w:rPr>
                      <w:rFonts w:ascii="Times New Roman" w:hAnsi="Times New Roman" w:cs="Times New Roman"/>
                      <w:b/>
                      <w:bCs/>
                      <w:sz w:val="16"/>
                      <w:szCs w:val="16"/>
                    </w:rPr>
                    <w:t>2026 r.</w:t>
                  </w:r>
                </w:p>
              </w:tc>
              <w:tc>
                <w:tcPr>
                  <w:tcW w:w="1256" w:type="dxa"/>
                  <w:tcBorders>
                    <w:bottom w:val="single" w:sz="4" w:space="0" w:color="auto"/>
                  </w:tcBorders>
                  <w:shd w:val="clear" w:color="auto" w:fill="DBDBDB" w:themeFill="accent3" w:themeFillTint="66"/>
                  <w:vAlign w:val="center"/>
                </w:tcPr>
                <w:p w14:paraId="3511AF86" w14:textId="77777777" w:rsidR="004F41EB" w:rsidRPr="00B5006E" w:rsidRDefault="004F41EB" w:rsidP="00A45302">
                  <w:pPr>
                    <w:jc w:val="center"/>
                    <w:rPr>
                      <w:rFonts w:ascii="Times New Roman" w:hAnsi="Times New Roman" w:cs="Times New Roman"/>
                      <w:sz w:val="16"/>
                      <w:szCs w:val="16"/>
                    </w:rPr>
                  </w:pPr>
                  <w:r w:rsidRPr="00B5006E">
                    <w:rPr>
                      <w:rFonts w:ascii="Times New Roman" w:hAnsi="Times New Roman" w:cs="Times New Roman"/>
                      <w:b/>
                      <w:bCs/>
                      <w:sz w:val="16"/>
                      <w:szCs w:val="16"/>
                    </w:rPr>
                    <w:t>2027 r.</w:t>
                  </w:r>
                </w:p>
              </w:tc>
              <w:tc>
                <w:tcPr>
                  <w:tcW w:w="1256" w:type="dxa"/>
                  <w:tcBorders>
                    <w:bottom w:val="single" w:sz="4" w:space="0" w:color="auto"/>
                  </w:tcBorders>
                  <w:shd w:val="clear" w:color="auto" w:fill="DBDBDB" w:themeFill="accent3" w:themeFillTint="66"/>
                  <w:vAlign w:val="center"/>
                </w:tcPr>
                <w:p w14:paraId="02878498" w14:textId="77777777" w:rsidR="004F41EB" w:rsidRPr="00B5006E" w:rsidRDefault="004F41EB" w:rsidP="00A45302">
                  <w:pPr>
                    <w:jc w:val="center"/>
                    <w:rPr>
                      <w:rFonts w:ascii="Times New Roman" w:hAnsi="Times New Roman" w:cs="Times New Roman"/>
                      <w:sz w:val="16"/>
                      <w:szCs w:val="16"/>
                    </w:rPr>
                  </w:pPr>
                  <w:r w:rsidRPr="00B5006E">
                    <w:rPr>
                      <w:rFonts w:ascii="Times New Roman" w:hAnsi="Times New Roman" w:cs="Times New Roman"/>
                      <w:b/>
                      <w:bCs/>
                      <w:sz w:val="16"/>
                      <w:szCs w:val="16"/>
                    </w:rPr>
                    <w:t>2028 r.</w:t>
                  </w:r>
                </w:p>
              </w:tc>
              <w:tc>
                <w:tcPr>
                  <w:tcW w:w="1342" w:type="dxa"/>
                  <w:tcBorders>
                    <w:bottom w:val="single" w:sz="4" w:space="0" w:color="auto"/>
                  </w:tcBorders>
                  <w:shd w:val="clear" w:color="auto" w:fill="A6A6A6" w:themeFill="background1" w:themeFillShade="A6"/>
                  <w:vAlign w:val="center"/>
                </w:tcPr>
                <w:p w14:paraId="23F677B0" w14:textId="77777777" w:rsidR="004F41EB" w:rsidRPr="00B5006E" w:rsidRDefault="004F41EB" w:rsidP="00A45302">
                  <w:pPr>
                    <w:jc w:val="center"/>
                    <w:rPr>
                      <w:rFonts w:ascii="Times New Roman" w:hAnsi="Times New Roman" w:cs="Times New Roman"/>
                      <w:sz w:val="16"/>
                      <w:szCs w:val="16"/>
                    </w:rPr>
                  </w:pPr>
                  <w:r w:rsidRPr="00B5006E">
                    <w:rPr>
                      <w:rFonts w:ascii="Times New Roman" w:hAnsi="Times New Roman" w:cs="Times New Roman"/>
                      <w:b/>
                      <w:bCs/>
                      <w:sz w:val="16"/>
                      <w:szCs w:val="16"/>
                    </w:rPr>
                    <w:t>2024-2028</w:t>
                  </w:r>
                </w:p>
              </w:tc>
            </w:tr>
            <w:tr w:rsidR="00887F35" w:rsidRPr="00B5006E" w14:paraId="08BCB988" w14:textId="77777777" w:rsidTr="00E94A0D">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14:paraId="43DA9A84" w14:textId="551E825F" w:rsidR="00BA7A1D" w:rsidRPr="001A4147" w:rsidRDefault="00BA7A1D" w:rsidP="00BA7A1D">
                  <w:pPr>
                    <w:jc w:val="center"/>
                    <w:rPr>
                      <w:rFonts w:ascii="Times New Roman" w:hAnsi="Times New Roman" w:cs="Times New Roman"/>
                      <w:b/>
                      <w:bCs/>
                      <w:sz w:val="16"/>
                      <w:szCs w:val="16"/>
                    </w:rPr>
                  </w:pPr>
                  <w:r w:rsidRPr="001A4147">
                    <w:rPr>
                      <w:rFonts w:ascii="Times New Roman" w:hAnsi="Times New Roman" w:cs="Times New Roman"/>
                      <w:b/>
                      <w:bCs/>
                      <w:sz w:val="16"/>
                      <w:szCs w:val="16"/>
                    </w:rPr>
                    <w:t xml:space="preserve">1 </w:t>
                  </w:r>
                  <w:r w:rsidR="00193007">
                    <w:rPr>
                      <w:rFonts w:ascii="Times New Roman" w:hAnsi="Times New Roman" w:cs="Times New Roman"/>
                      <w:b/>
                      <w:bCs/>
                      <w:sz w:val="16"/>
                      <w:szCs w:val="16"/>
                    </w:rPr>
                    <w:t>725</w:t>
                  </w:r>
                  <w:r w:rsidR="00193007" w:rsidRPr="001A4147">
                    <w:rPr>
                      <w:rFonts w:ascii="Times New Roman" w:hAnsi="Times New Roman" w:cs="Times New Roman"/>
                      <w:b/>
                      <w:bCs/>
                      <w:sz w:val="16"/>
                      <w:szCs w:val="16"/>
                    </w:rPr>
                    <w:t xml:space="preserve"> </w:t>
                  </w:r>
                  <w:r w:rsidRPr="001A4147">
                    <w:rPr>
                      <w:rFonts w:ascii="Times New Roman" w:hAnsi="Times New Roman" w:cs="Times New Roman"/>
                      <w:b/>
                      <w:bCs/>
                      <w:sz w:val="16"/>
                      <w:szCs w:val="16"/>
                    </w:rPr>
                    <w:t>000,00</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14:paraId="346685B5" w14:textId="0E7C4DF5" w:rsidR="00BA7A1D" w:rsidRPr="001A4147" w:rsidRDefault="00BA7A1D" w:rsidP="00BA7A1D">
                  <w:pPr>
                    <w:jc w:val="center"/>
                    <w:rPr>
                      <w:rFonts w:ascii="Times New Roman" w:hAnsi="Times New Roman" w:cs="Times New Roman"/>
                      <w:b/>
                      <w:bCs/>
                      <w:sz w:val="16"/>
                      <w:szCs w:val="16"/>
                    </w:rPr>
                  </w:pPr>
                  <w:r w:rsidRPr="001A4147">
                    <w:rPr>
                      <w:rFonts w:ascii="Times New Roman" w:hAnsi="Times New Roman" w:cs="Times New Roman"/>
                      <w:b/>
                      <w:bCs/>
                      <w:sz w:val="16"/>
                      <w:szCs w:val="16"/>
                    </w:rPr>
                    <w:t xml:space="preserve">1 </w:t>
                  </w:r>
                  <w:r w:rsidR="00193007">
                    <w:rPr>
                      <w:rFonts w:ascii="Times New Roman" w:hAnsi="Times New Roman" w:cs="Times New Roman"/>
                      <w:b/>
                      <w:bCs/>
                      <w:sz w:val="16"/>
                      <w:szCs w:val="16"/>
                    </w:rPr>
                    <w:t>725</w:t>
                  </w:r>
                  <w:r w:rsidR="00193007" w:rsidRPr="001A4147">
                    <w:rPr>
                      <w:rFonts w:ascii="Times New Roman" w:hAnsi="Times New Roman" w:cs="Times New Roman"/>
                      <w:b/>
                      <w:bCs/>
                      <w:sz w:val="16"/>
                      <w:szCs w:val="16"/>
                    </w:rPr>
                    <w:t xml:space="preserve"> </w:t>
                  </w:r>
                  <w:r w:rsidRPr="001A4147">
                    <w:rPr>
                      <w:rFonts w:ascii="Times New Roman" w:hAnsi="Times New Roman" w:cs="Times New Roman"/>
                      <w:b/>
                      <w:bCs/>
                      <w:sz w:val="16"/>
                      <w:szCs w:val="16"/>
                    </w:rPr>
                    <w:t>000,00</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14:paraId="5C243CBB" w14:textId="51C76281" w:rsidR="00BA7A1D" w:rsidRPr="001A4147" w:rsidRDefault="00BA7A1D" w:rsidP="00BA7A1D">
                  <w:pPr>
                    <w:jc w:val="center"/>
                    <w:rPr>
                      <w:rFonts w:ascii="Times New Roman" w:hAnsi="Times New Roman" w:cs="Times New Roman"/>
                      <w:b/>
                      <w:bCs/>
                      <w:sz w:val="16"/>
                      <w:szCs w:val="16"/>
                    </w:rPr>
                  </w:pPr>
                  <w:r w:rsidRPr="001A4147">
                    <w:rPr>
                      <w:rFonts w:ascii="Times New Roman" w:hAnsi="Times New Roman" w:cs="Times New Roman"/>
                      <w:b/>
                      <w:bCs/>
                      <w:sz w:val="16"/>
                      <w:szCs w:val="16"/>
                    </w:rPr>
                    <w:t xml:space="preserve">2 </w:t>
                  </w:r>
                  <w:r w:rsidR="00C81592">
                    <w:rPr>
                      <w:rFonts w:ascii="Times New Roman" w:hAnsi="Times New Roman" w:cs="Times New Roman"/>
                      <w:b/>
                      <w:bCs/>
                      <w:sz w:val="16"/>
                      <w:szCs w:val="16"/>
                    </w:rPr>
                    <w:t>205</w:t>
                  </w:r>
                  <w:r w:rsidR="00C81592" w:rsidRPr="001A4147">
                    <w:rPr>
                      <w:rFonts w:ascii="Times New Roman" w:hAnsi="Times New Roman" w:cs="Times New Roman"/>
                      <w:b/>
                      <w:bCs/>
                      <w:sz w:val="16"/>
                      <w:szCs w:val="16"/>
                    </w:rPr>
                    <w:t xml:space="preserve"> </w:t>
                  </w:r>
                  <w:r w:rsidRPr="001A4147">
                    <w:rPr>
                      <w:rFonts w:ascii="Times New Roman" w:hAnsi="Times New Roman" w:cs="Times New Roman"/>
                      <w:b/>
                      <w:bCs/>
                      <w:sz w:val="16"/>
                      <w:szCs w:val="16"/>
                    </w:rPr>
                    <w:t>000,00</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14:paraId="753AB2D0" w14:textId="691AD909" w:rsidR="00BA7A1D" w:rsidRPr="001A4147" w:rsidRDefault="00BA7A1D" w:rsidP="00BA7A1D">
                  <w:pPr>
                    <w:jc w:val="center"/>
                    <w:rPr>
                      <w:rFonts w:ascii="Times New Roman" w:hAnsi="Times New Roman" w:cs="Times New Roman"/>
                      <w:b/>
                      <w:bCs/>
                      <w:sz w:val="16"/>
                      <w:szCs w:val="16"/>
                    </w:rPr>
                  </w:pPr>
                  <w:r w:rsidRPr="001A4147">
                    <w:rPr>
                      <w:rFonts w:ascii="Times New Roman" w:hAnsi="Times New Roman" w:cs="Times New Roman"/>
                      <w:b/>
                      <w:bCs/>
                      <w:sz w:val="16"/>
                      <w:szCs w:val="16"/>
                    </w:rPr>
                    <w:t xml:space="preserve">2 </w:t>
                  </w:r>
                  <w:r w:rsidR="00C81592">
                    <w:rPr>
                      <w:rFonts w:ascii="Times New Roman" w:hAnsi="Times New Roman" w:cs="Times New Roman"/>
                      <w:b/>
                      <w:bCs/>
                      <w:sz w:val="16"/>
                      <w:szCs w:val="16"/>
                    </w:rPr>
                    <w:t>205</w:t>
                  </w:r>
                  <w:r w:rsidR="00C81592" w:rsidRPr="001A4147">
                    <w:rPr>
                      <w:rFonts w:ascii="Times New Roman" w:hAnsi="Times New Roman" w:cs="Times New Roman"/>
                      <w:b/>
                      <w:bCs/>
                      <w:sz w:val="16"/>
                      <w:szCs w:val="16"/>
                    </w:rPr>
                    <w:t xml:space="preserve"> </w:t>
                  </w:r>
                  <w:r w:rsidRPr="001A4147">
                    <w:rPr>
                      <w:rFonts w:ascii="Times New Roman" w:hAnsi="Times New Roman" w:cs="Times New Roman"/>
                      <w:b/>
                      <w:bCs/>
                      <w:sz w:val="16"/>
                      <w:szCs w:val="16"/>
                    </w:rPr>
                    <w:t>000,00</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14:paraId="67EAD071" w14:textId="4C4B325E" w:rsidR="00BA7A1D" w:rsidRPr="001A4147" w:rsidRDefault="00BA7A1D" w:rsidP="00BA7A1D">
                  <w:pPr>
                    <w:jc w:val="center"/>
                    <w:rPr>
                      <w:rFonts w:ascii="Times New Roman" w:hAnsi="Times New Roman" w:cs="Times New Roman"/>
                      <w:b/>
                      <w:bCs/>
                      <w:sz w:val="16"/>
                      <w:szCs w:val="16"/>
                    </w:rPr>
                  </w:pPr>
                  <w:r w:rsidRPr="001A4147">
                    <w:rPr>
                      <w:rFonts w:ascii="Times New Roman" w:hAnsi="Times New Roman" w:cs="Times New Roman"/>
                      <w:b/>
                      <w:bCs/>
                      <w:sz w:val="16"/>
                      <w:szCs w:val="16"/>
                    </w:rPr>
                    <w:t xml:space="preserve">2 </w:t>
                  </w:r>
                  <w:r w:rsidR="00C81592">
                    <w:rPr>
                      <w:rFonts w:ascii="Times New Roman" w:hAnsi="Times New Roman" w:cs="Times New Roman"/>
                      <w:b/>
                      <w:bCs/>
                      <w:sz w:val="16"/>
                      <w:szCs w:val="16"/>
                    </w:rPr>
                    <w:t>205</w:t>
                  </w:r>
                  <w:r w:rsidRPr="001A4147">
                    <w:rPr>
                      <w:rFonts w:ascii="Times New Roman" w:hAnsi="Times New Roman" w:cs="Times New Roman"/>
                      <w:b/>
                      <w:bCs/>
                      <w:sz w:val="16"/>
                      <w:szCs w:val="16"/>
                    </w:rPr>
                    <w:t xml:space="preserve"> 000,00</w:t>
                  </w:r>
                </w:p>
              </w:tc>
              <w:tc>
                <w:tcPr>
                  <w:tcW w:w="134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64B7B0F" w14:textId="1BF8ED54" w:rsidR="00BA7A1D" w:rsidRPr="001A4147" w:rsidRDefault="00401117" w:rsidP="00BA7A1D">
                  <w:pPr>
                    <w:jc w:val="center"/>
                    <w:rPr>
                      <w:rFonts w:ascii="Times New Roman" w:hAnsi="Times New Roman" w:cs="Times New Roman"/>
                      <w:b/>
                      <w:bCs/>
                      <w:sz w:val="16"/>
                      <w:szCs w:val="16"/>
                    </w:rPr>
                  </w:pPr>
                  <w:r>
                    <w:rPr>
                      <w:rFonts w:ascii="Times New Roman" w:hAnsi="Times New Roman" w:cs="Times New Roman"/>
                      <w:b/>
                      <w:bCs/>
                      <w:sz w:val="16"/>
                      <w:szCs w:val="16"/>
                    </w:rPr>
                    <w:t>10 065 000</w:t>
                  </w:r>
                  <w:r w:rsidR="00BA7A1D" w:rsidRPr="001A4147">
                    <w:rPr>
                      <w:rFonts w:ascii="Times New Roman" w:hAnsi="Times New Roman" w:cs="Times New Roman"/>
                      <w:b/>
                      <w:bCs/>
                      <w:sz w:val="16"/>
                      <w:szCs w:val="16"/>
                    </w:rPr>
                    <w:t>,00</w:t>
                  </w:r>
                </w:p>
              </w:tc>
            </w:tr>
            <w:tr w:rsidR="00887F35" w:rsidRPr="00B5006E" w14:paraId="2A2969BC" w14:textId="77777777" w:rsidTr="00E94A0D">
              <w:tc>
                <w:tcPr>
                  <w:tcW w:w="1256" w:type="dxa"/>
                  <w:shd w:val="clear" w:color="auto" w:fill="auto"/>
                </w:tcPr>
                <w:p w14:paraId="1282FF19" w14:textId="5CAEB00E" w:rsidR="00B5006E" w:rsidRPr="001A4147" w:rsidRDefault="00B5006E" w:rsidP="002A5EE0">
                  <w:pPr>
                    <w:jc w:val="center"/>
                    <w:rPr>
                      <w:rFonts w:ascii="Times New Roman" w:hAnsi="Times New Roman" w:cs="Times New Roman"/>
                      <w:sz w:val="16"/>
                      <w:szCs w:val="16"/>
                    </w:rPr>
                  </w:pPr>
                  <w:r w:rsidRPr="001A4147">
                    <w:rPr>
                      <w:rFonts w:ascii="Times New Roman" w:hAnsi="Times New Roman" w:cs="Times New Roman"/>
                      <w:sz w:val="16"/>
                      <w:szCs w:val="16"/>
                    </w:rPr>
                    <w:t>4 etaty (SUP DTM) x 12 m-</w:t>
                  </w:r>
                  <w:proofErr w:type="spellStart"/>
                  <w:r w:rsidRPr="001A4147">
                    <w:rPr>
                      <w:rFonts w:ascii="Times New Roman" w:hAnsi="Times New Roman" w:cs="Times New Roman"/>
                      <w:sz w:val="16"/>
                      <w:szCs w:val="16"/>
                    </w:rPr>
                    <w:t>cy</w:t>
                  </w:r>
                  <w:proofErr w:type="spellEnd"/>
                  <w:r w:rsidRPr="001A4147">
                    <w:rPr>
                      <w:rFonts w:ascii="Times New Roman" w:hAnsi="Times New Roman" w:cs="Times New Roman"/>
                      <w:sz w:val="16"/>
                      <w:szCs w:val="16"/>
                    </w:rPr>
                    <w:t xml:space="preserve"> x wynagrodzenie zasadnicze na stanowisku st. specjalisty wraz z kosztami pracodawcy wg obowiązującego</w:t>
                  </w:r>
                  <w:r w:rsidR="00AE0E3D">
                    <w:rPr>
                      <w:rFonts w:ascii="Times New Roman" w:hAnsi="Times New Roman" w:cs="Times New Roman"/>
                      <w:sz w:val="16"/>
                      <w:szCs w:val="16"/>
                    </w:rPr>
                    <w:t xml:space="preserve"> w PAŻP regulaminu w</w:t>
                  </w:r>
                  <w:r w:rsidRPr="001A4147">
                    <w:rPr>
                      <w:rFonts w:ascii="Times New Roman" w:hAnsi="Times New Roman" w:cs="Times New Roman"/>
                      <w:sz w:val="16"/>
                      <w:szCs w:val="16"/>
                    </w:rPr>
                    <w:t>ynagradzania</w:t>
                  </w:r>
                </w:p>
                <w:p w14:paraId="15CD4107" w14:textId="2244A2AB" w:rsidR="00B5006E" w:rsidRPr="001A4147" w:rsidRDefault="00B5006E" w:rsidP="002A5EE0">
                  <w:pPr>
                    <w:jc w:val="center"/>
                    <w:rPr>
                      <w:rFonts w:ascii="Times New Roman" w:hAnsi="Times New Roman" w:cs="Times New Roman"/>
                      <w:sz w:val="16"/>
                      <w:szCs w:val="16"/>
                    </w:rPr>
                  </w:pPr>
                  <w:r w:rsidRPr="001A4147">
                    <w:rPr>
                      <w:rFonts w:ascii="Times New Roman" w:hAnsi="Times New Roman" w:cs="Times New Roman"/>
                      <w:sz w:val="16"/>
                      <w:szCs w:val="16"/>
                    </w:rPr>
                    <w:t xml:space="preserve">Łącznie: 768.000,00 zł wynagrodzenie zasadnicze + 192.000,00 zł koszty pracodawcy = </w:t>
                  </w:r>
                  <w:r w:rsidRPr="00461697">
                    <w:rPr>
                      <w:rFonts w:ascii="Times New Roman" w:hAnsi="Times New Roman" w:cs="Times New Roman"/>
                      <w:b/>
                      <w:bCs/>
                      <w:sz w:val="16"/>
                      <w:szCs w:val="16"/>
                    </w:rPr>
                    <w:t>960.000</w:t>
                  </w:r>
                  <w:r w:rsidR="00E644AF" w:rsidRPr="00461697">
                    <w:rPr>
                      <w:rFonts w:ascii="Times New Roman" w:hAnsi="Times New Roman" w:cs="Times New Roman"/>
                      <w:b/>
                      <w:bCs/>
                      <w:sz w:val="16"/>
                      <w:szCs w:val="16"/>
                    </w:rPr>
                    <w:t>,00</w:t>
                  </w:r>
                  <w:r w:rsidRPr="00461697">
                    <w:rPr>
                      <w:rFonts w:ascii="Times New Roman" w:hAnsi="Times New Roman" w:cs="Times New Roman"/>
                      <w:b/>
                      <w:bCs/>
                      <w:sz w:val="16"/>
                      <w:szCs w:val="16"/>
                    </w:rPr>
                    <w:t xml:space="preserve"> zł</w:t>
                  </w:r>
                </w:p>
              </w:tc>
              <w:tc>
                <w:tcPr>
                  <w:tcW w:w="1256" w:type="dxa"/>
                  <w:shd w:val="clear" w:color="auto" w:fill="auto"/>
                </w:tcPr>
                <w:p w14:paraId="4AD60D5F" w14:textId="7C8706E8" w:rsidR="00B5006E" w:rsidRPr="001A4147" w:rsidRDefault="00B5006E" w:rsidP="002A5EE0">
                  <w:pPr>
                    <w:jc w:val="center"/>
                    <w:rPr>
                      <w:rFonts w:ascii="Times New Roman" w:hAnsi="Times New Roman" w:cs="Times New Roman"/>
                      <w:sz w:val="16"/>
                      <w:szCs w:val="16"/>
                    </w:rPr>
                  </w:pPr>
                  <w:r w:rsidRPr="001A4147">
                    <w:rPr>
                      <w:rFonts w:ascii="Times New Roman" w:hAnsi="Times New Roman" w:cs="Times New Roman"/>
                      <w:sz w:val="16"/>
                      <w:szCs w:val="16"/>
                    </w:rPr>
                    <w:t>4 etaty (SUP DTM) x 12 m-</w:t>
                  </w:r>
                  <w:proofErr w:type="spellStart"/>
                  <w:r w:rsidRPr="001A4147">
                    <w:rPr>
                      <w:rFonts w:ascii="Times New Roman" w:hAnsi="Times New Roman" w:cs="Times New Roman"/>
                      <w:sz w:val="16"/>
                      <w:szCs w:val="16"/>
                    </w:rPr>
                    <w:t>cy</w:t>
                  </w:r>
                  <w:proofErr w:type="spellEnd"/>
                  <w:r w:rsidRPr="001A4147">
                    <w:rPr>
                      <w:rFonts w:ascii="Times New Roman" w:hAnsi="Times New Roman" w:cs="Times New Roman"/>
                      <w:sz w:val="16"/>
                      <w:szCs w:val="16"/>
                    </w:rPr>
                    <w:t xml:space="preserve"> x wynagrodzenie zasadnicze na stanowisku st. specjalisty wraz z kosztami pracodawcy wg obowiązującego </w:t>
                  </w:r>
                  <w:r w:rsidR="00AE0E3D">
                    <w:rPr>
                      <w:rFonts w:ascii="Times New Roman" w:hAnsi="Times New Roman" w:cs="Times New Roman"/>
                      <w:sz w:val="16"/>
                      <w:szCs w:val="16"/>
                    </w:rPr>
                    <w:t>w PAŻP regulaminu w</w:t>
                  </w:r>
                  <w:r w:rsidRPr="001A4147">
                    <w:rPr>
                      <w:rFonts w:ascii="Times New Roman" w:hAnsi="Times New Roman" w:cs="Times New Roman"/>
                      <w:sz w:val="16"/>
                      <w:szCs w:val="16"/>
                    </w:rPr>
                    <w:t>ynagradzania</w:t>
                  </w:r>
                </w:p>
                <w:p w14:paraId="7E4477B1" w14:textId="12500DC4" w:rsidR="00B5006E" w:rsidRPr="001A4147" w:rsidRDefault="00B5006E" w:rsidP="002A5EE0">
                  <w:pPr>
                    <w:jc w:val="center"/>
                    <w:rPr>
                      <w:rFonts w:ascii="Times New Roman" w:hAnsi="Times New Roman" w:cs="Times New Roman"/>
                      <w:sz w:val="16"/>
                      <w:szCs w:val="16"/>
                    </w:rPr>
                  </w:pPr>
                  <w:r w:rsidRPr="001A4147">
                    <w:rPr>
                      <w:rFonts w:ascii="Times New Roman" w:hAnsi="Times New Roman" w:cs="Times New Roman"/>
                      <w:sz w:val="16"/>
                      <w:szCs w:val="16"/>
                    </w:rPr>
                    <w:t xml:space="preserve">Łącznie: 768.000,00 zł wynagrodzenie zasadnicze + 192.000,00 zł koszty pracodawcy = </w:t>
                  </w:r>
                  <w:r w:rsidRPr="00461697">
                    <w:rPr>
                      <w:rFonts w:ascii="Times New Roman" w:hAnsi="Times New Roman" w:cs="Times New Roman"/>
                      <w:b/>
                      <w:bCs/>
                      <w:sz w:val="16"/>
                      <w:szCs w:val="16"/>
                    </w:rPr>
                    <w:t>960.000</w:t>
                  </w:r>
                  <w:r w:rsidR="00E644AF" w:rsidRPr="00461697">
                    <w:rPr>
                      <w:rFonts w:ascii="Times New Roman" w:hAnsi="Times New Roman" w:cs="Times New Roman"/>
                      <w:b/>
                      <w:bCs/>
                      <w:sz w:val="16"/>
                      <w:szCs w:val="16"/>
                    </w:rPr>
                    <w:t>,00</w:t>
                  </w:r>
                  <w:r w:rsidRPr="00461697">
                    <w:rPr>
                      <w:rFonts w:ascii="Times New Roman" w:hAnsi="Times New Roman" w:cs="Times New Roman"/>
                      <w:b/>
                      <w:bCs/>
                      <w:sz w:val="16"/>
                      <w:szCs w:val="16"/>
                    </w:rPr>
                    <w:t xml:space="preserve"> zł</w:t>
                  </w:r>
                </w:p>
              </w:tc>
              <w:tc>
                <w:tcPr>
                  <w:tcW w:w="1256" w:type="dxa"/>
                  <w:shd w:val="clear" w:color="auto" w:fill="auto"/>
                </w:tcPr>
                <w:p w14:paraId="2FB3C96D" w14:textId="20294FCD" w:rsidR="00B5006E" w:rsidRPr="001A4147" w:rsidRDefault="00B5006E" w:rsidP="002A5EE0">
                  <w:pPr>
                    <w:jc w:val="center"/>
                    <w:rPr>
                      <w:rFonts w:ascii="Times New Roman" w:hAnsi="Times New Roman" w:cs="Times New Roman"/>
                      <w:sz w:val="16"/>
                      <w:szCs w:val="16"/>
                    </w:rPr>
                  </w:pPr>
                  <w:r w:rsidRPr="001A4147">
                    <w:rPr>
                      <w:rFonts w:ascii="Times New Roman" w:hAnsi="Times New Roman" w:cs="Times New Roman"/>
                      <w:sz w:val="16"/>
                      <w:szCs w:val="16"/>
                    </w:rPr>
                    <w:t>6 etatów (SUP DTM) x 12 m-</w:t>
                  </w:r>
                  <w:proofErr w:type="spellStart"/>
                  <w:r w:rsidRPr="001A4147">
                    <w:rPr>
                      <w:rFonts w:ascii="Times New Roman" w:hAnsi="Times New Roman" w:cs="Times New Roman"/>
                      <w:sz w:val="16"/>
                      <w:szCs w:val="16"/>
                    </w:rPr>
                    <w:t>cy</w:t>
                  </w:r>
                  <w:proofErr w:type="spellEnd"/>
                  <w:r w:rsidRPr="001A4147">
                    <w:rPr>
                      <w:rFonts w:ascii="Times New Roman" w:hAnsi="Times New Roman" w:cs="Times New Roman"/>
                      <w:sz w:val="16"/>
                      <w:szCs w:val="16"/>
                    </w:rPr>
                    <w:t xml:space="preserve"> x wynagrodzenie zasadnicze na stanowisku st. specjalisty wraz z kosztam</w:t>
                  </w:r>
                  <w:r w:rsidR="00AE0E3D">
                    <w:rPr>
                      <w:rFonts w:ascii="Times New Roman" w:hAnsi="Times New Roman" w:cs="Times New Roman"/>
                      <w:sz w:val="16"/>
                      <w:szCs w:val="16"/>
                    </w:rPr>
                    <w:t>i pracodawcy wg obowiązującego w PAŻP regulaminu w</w:t>
                  </w:r>
                  <w:r w:rsidRPr="001A4147">
                    <w:rPr>
                      <w:rFonts w:ascii="Times New Roman" w:hAnsi="Times New Roman" w:cs="Times New Roman"/>
                      <w:sz w:val="16"/>
                      <w:szCs w:val="16"/>
                    </w:rPr>
                    <w:t>ynagradzania</w:t>
                  </w:r>
                </w:p>
                <w:p w14:paraId="23B0AC73" w14:textId="0FFCFB36" w:rsidR="00B5006E" w:rsidRPr="001A4147" w:rsidRDefault="00B5006E" w:rsidP="002A5EE0">
                  <w:pPr>
                    <w:jc w:val="center"/>
                    <w:rPr>
                      <w:rFonts w:ascii="Times New Roman" w:hAnsi="Times New Roman" w:cs="Times New Roman"/>
                      <w:sz w:val="16"/>
                      <w:szCs w:val="16"/>
                    </w:rPr>
                  </w:pPr>
                  <w:r w:rsidRPr="001A4147">
                    <w:rPr>
                      <w:rFonts w:ascii="Times New Roman" w:hAnsi="Times New Roman" w:cs="Times New Roman"/>
                      <w:sz w:val="16"/>
                      <w:szCs w:val="16"/>
                    </w:rPr>
                    <w:t xml:space="preserve">Łącznie: 1.152.000,00 zł wynagrodzenie zasadnicze + 288.000,00 zł koszty pracodawcy = </w:t>
                  </w:r>
                  <w:r w:rsidRPr="00461697">
                    <w:rPr>
                      <w:rFonts w:ascii="Times New Roman" w:hAnsi="Times New Roman" w:cs="Times New Roman"/>
                      <w:b/>
                      <w:bCs/>
                      <w:sz w:val="16"/>
                      <w:szCs w:val="16"/>
                    </w:rPr>
                    <w:t>1.440.000</w:t>
                  </w:r>
                  <w:r w:rsidR="00E644AF" w:rsidRPr="00461697">
                    <w:rPr>
                      <w:rFonts w:ascii="Times New Roman" w:hAnsi="Times New Roman" w:cs="Times New Roman"/>
                      <w:b/>
                      <w:bCs/>
                      <w:sz w:val="16"/>
                      <w:szCs w:val="16"/>
                    </w:rPr>
                    <w:t>,00</w:t>
                  </w:r>
                  <w:r w:rsidRPr="00461697">
                    <w:rPr>
                      <w:rFonts w:ascii="Times New Roman" w:hAnsi="Times New Roman" w:cs="Times New Roman"/>
                      <w:b/>
                      <w:bCs/>
                      <w:sz w:val="16"/>
                      <w:szCs w:val="16"/>
                    </w:rPr>
                    <w:t xml:space="preserve"> zł</w:t>
                  </w:r>
                </w:p>
              </w:tc>
              <w:tc>
                <w:tcPr>
                  <w:tcW w:w="1256" w:type="dxa"/>
                  <w:shd w:val="clear" w:color="auto" w:fill="auto"/>
                </w:tcPr>
                <w:p w14:paraId="77791C00" w14:textId="31BD6E7A" w:rsidR="00B5006E" w:rsidRPr="001A4147" w:rsidRDefault="00B5006E" w:rsidP="002A5EE0">
                  <w:pPr>
                    <w:jc w:val="center"/>
                    <w:rPr>
                      <w:rFonts w:ascii="Times New Roman" w:hAnsi="Times New Roman" w:cs="Times New Roman"/>
                      <w:sz w:val="16"/>
                      <w:szCs w:val="16"/>
                    </w:rPr>
                  </w:pPr>
                  <w:r w:rsidRPr="001A4147">
                    <w:rPr>
                      <w:rFonts w:ascii="Times New Roman" w:hAnsi="Times New Roman" w:cs="Times New Roman"/>
                      <w:sz w:val="16"/>
                      <w:szCs w:val="16"/>
                    </w:rPr>
                    <w:t>6 etatów (SUP DTM) x 12 m-</w:t>
                  </w:r>
                  <w:proofErr w:type="spellStart"/>
                  <w:r w:rsidRPr="001A4147">
                    <w:rPr>
                      <w:rFonts w:ascii="Times New Roman" w:hAnsi="Times New Roman" w:cs="Times New Roman"/>
                      <w:sz w:val="16"/>
                      <w:szCs w:val="16"/>
                    </w:rPr>
                    <w:t>cy</w:t>
                  </w:r>
                  <w:proofErr w:type="spellEnd"/>
                  <w:r w:rsidRPr="001A4147">
                    <w:rPr>
                      <w:rFonts w:ascii="Times New Roman" w:hAnsi="Times New Roman" w:cs="Times New Roman"/>
                      <w:sz w:val="16"/>
                      <w:szCs w:val="16"/>
                    </w:rPr>
                    <w:t xml:space="preserve"> x wynagrodzenie zasadnicze na stanowisku st. specjalisty wraz z kosztami pracodawcy wg </w:t>
                  </w:r>
                  <w:r w:rsidR="00AE0E3D">
                    <w:rPr>
                      <w:rFonts w:ascii="Times New Roman" w:hAnsi="Times New Roman" w:cs="Times New Roman"/>
                      <w:sz w:val="16"/>
                      <w:szCs w:val="16"/>
                    </w:rPr>
                    <w:t>obowiązującego PAŻP regulaminu w</w:t>
                  </w:r>
                  <w:r w:rsidRPr="001A4147">
                    <w:rPr>
                      <w:rFonts w:ascii="Times New Roman" w:hAnsi="Times New Roman" w:cs="Times New Roman"/>
                      <w:sz w:val="16"/>
                      <w:szCs w:val="16"/>
                    </w:rPr>
                    <w:t>ynagradzania</w:t>
                  </w:r>
                </w:p>
                <w:p w14:paraId="4BD48806" w14:textId="4EE36C30" w:rsidR="00B5006E" w:rsidRPr="001A4147" w:rsidRDefault="00B5006E" w:rsidP="002A5EE0">
                  <w:pPr>
                    <w:jc w:val="center"/>
                    <w:rPr>
                      <w:rFonts w:ascii="Times New Roman" w:hAnsi="Times New Roman" w:cs="Times New Roman"/>
                      <w:sz w:val="16"/>
                      <w:szCs w:val="16"/>
                    </w:rPr>
                  </w:pPr>
                  <w:r w:rsidRPr="001A4147">
                    <w:rPr>
                      <w:rFonts w:ascii="Times New Roman" w:hAnsi="Times New Roman" w:cs="Times New Roman"/>
                      <w:sz w:val="16"/>
                      <w:szCs w:val="16"/>
                    </w:rPr>
                    <w:t xml:space="preserve">Łącznie: 1.152.000,00 zł wynagrodzenie zasadnicze + 288.000,00 zł koszty pracodawcy = </w:t>
                  </w:r>
                  <w:r w:rsidRPr="00461697">
                    <w:rPr>
                      <w:rFonts w:ascii="Times New Roman" w:hAnsi="Times New Roman" w:cs="Times New Roman"/>
                      <w:b/>
                      <w:bCs/>
                      <w:sz w:val="16"/>
                      <w:szCs w:val="16"/>
                    </w:rPr>
                    <w:t>1.440.000</w:t>
                  </w:r>
                  <w:r w:rsidR="00E644AF" w:rsidRPr="00461697">
                    <w:rPr>
                      <w:rFonts w:ascii="Times New Roman" w:hAnsi="Times New Roman" w:cs="Times New Roman"/>
                      <w:b/>
                      <w:bCs/>
                      <w:sz w:val="16"/>
                      <w:szCs w:val="16"/>
                    </w:rPr>
                    <w:t>,00</w:t>
                  </w:r>
                  <w:r w:rsidRPr="00461697">
                    <w:rPr>
                      <w:rFonts w:ascii="Times New Roman" w:hAnsi="Times New Roman" w:cs="Times New Roman"/>
                      <w:b/>
                      <w:bCs/>
                      <w:sz w:val="16"/>
                      <w:szCs w:val="16"/>
                    </w:rPr>
                    <w:t xml:space="preserve"> zł</w:t>
                  </w:r>
                </w:p>
              </w:tc>
              <w:tc>
                <w:tcPr>
                  <w:tcW w:w="1256" w:type="dxa"/>
                  <w:shd w:val="clear" w:color="auto" w:fill="auto"/>
                </w:tcPr>
                <w:p w14:paraId="34EC0C81" w14:textId="22E980D1" w:rsidR="00B5006E" w:rsidRPr="001A4147" w:rsidRDefault="00E644AF" w:rsidP="002A5EE0">
                  <w:pPr>
                    <w:jc w:val="center"/>
                    <w:rPr>
                      <w:rFonts w:ascii="Times New Roman" w:hAnsi="Times New Roman" w:cs="Times New Roman"/>
                      <w:sz w:val="16"/>
                      <w:szCs w:val="16"/>
                    </w:rPr>
                  </w:pPr>
                  <w:r>
                    <w:rPr>
                      <w:rFonts w:ascii="Times New Roman" w:hAnsi="Times New Roman" w:cs="Times New Roman"/>
                      <w:sz w:val="16"/>
                      <w:szCs w:val="16"/>
                    </w:rPr>
                    <w:t>6</w:t>
                  </w:r>
                  <w:r w:rsidRPr="001A4147">
                    <w:rPr>
                      <w:rFonts w:ascii="Times New Roman" w:hAnsi="Times New Roman" w:cs="Times New Roman"/>
                      <w:sz w:val="16"/>
                      <w:szCs w:val="16"/>
                    </w:rPr>
                    <w:t xml:space="preserve"> </w:t>
                  </w:r>
                  <w:r w:rsidR="00B5006E" w:rsidRPr="001A4147">
                    <w:rPr>
                      <w:rFonts w:ascii="Times New Roman" w:hAnsi="Times New Roman" w:cs="Times New Roman"/>
                      <w:sz w:val="16"/>
                      <w:szCs w:val="16"/>
                    </w:rPr>
                    <w:t>etatów (SUP DTM) x 12 m-</w:t>
                  </w:r>
                  <w:proofErr w:type="spellStart"/>
                  <w:r w:rsidR="00B5006E" w:rsidRPr="001A4147">
                    <w:rPr>
                      <w:rFonts w:ascii="Times New Roman" w:hAnsi="Times New Roman" w:cs="Times New Roman"/>
                      <w:sz w:val="16"/>
                      <w:szCs w:val="16"/>
                    </w:rPr>
                    <w:t>cy</w:t>
                  </w:r>
                  <w:proofErr w:type="spellEnd"/>
                  <w:r w:rsidR="00B5006E" w:rsidRPr="001A4147">
                    <w:rPr>
                      <w:rFonts w:ascii="Times New Roman" w:hAnsi="Times New Roman" w:cs="Times New Roman"/>
                      <w:sz w:val="16"/>
                      <w:szCs w:val="16"/>
                    </w:rPr>
                    <w:t xml:space="preserve"> x wynagrodzenie zasadnicze na stanowisku st. specjalisty wraz z kosztami pracodawcy wg obowiązującego</w:t>
                  </w:r>
                  <w:r w:rsidR="00AE0E3D">
                    <w:rPr>
                      <w:rFonts w:ascii="Times New Roman" w:hAnsi="Times New Roman" w:cs="Times New Roman"/>
                      <w:sz w:val="16"/>
                      <w:szCs w:val="16"/>
                    </w:rPr>
                    <w:t xml:space="preserve"> w PAŻP regulaminu w</w:t>
                  </w:r>
                  <w:r w:rsidR="00B5006E" w:rsidRPr="001A4147">
                    <w:rPr>
                      <w:rFonts w:ascii="Times New Roman" w:hAnsi="Times New Roman" w:cs="Times New Roman"/>
                      <w:sz w:val="16"/>
                      <w:szCs w:val="16"/>
                    </w:rPr>
                    <w:t>ynagradzania</w:t>
                  </w:r>
                </w:p>
                <w:p w14:paraId="33733CA0" w14:textId="662286FC" w:rsidR="00B5006E" w:rsidRPr="001A4147" w:rsidRDefault="00B5006E" w:rsidP="002A5EE0">
                  <w:pPr>
                    <w:jc w:val="center"/>
                    <w:rPr>
                      <w:rFonts w:ascii="Times New Roman" w:hAnsi="Times New Roman" w:cs="Times New Roman"/>
                      <w:sz w:val="16"/>
                      <w:szCs w:val="16"/>
                    </w:rPr>
                  </w:pPr>
                  <w:r w:rsidRPr="001A4147">
                    <w:rPr>
                      <w:rFonts w:ascii="Times New Roman" w:hAnsi="Times New Roman" w:cs="Times New Roman"/>
                      <w:sz w:val="16"/>
                      <w:szCs w:val="16"/>
                    </w:rPr>
                    <w:t xml:space="preserve">Łącznie: </w:t>
                  </w:r>
                  <w:r w:rsidR="00E644AF" w:rsidRPr="00E644AF">
                    <w:rPr>
                      <w:rFonts w:ascii="Times New Roman" w:hAnsi="Times New Roman" w:cs="Times New Roman"/>
                      <w:sz w:val="16"/>
                      <w:szCs w:val="16"/>
                    </w:rPr>
                    <w:t>1.152.000,00</w:t>
                  </w:r>
                  <w:r w:rsidRPr="001A4147">
                    <w:rPr>
                      <w:rFonts w:ascii="Times New Roman" w:hAnsi="Times New Roman" w:cs="Times New Roman"/>
                      <w:sz w:val="16"/>
                      <w:szCs w:val="16"/>
                    </w:rPr>
                    <w:t xml:space="preserve"> zł wynagrodzenie zasadnicze +</w:t>
                  </w:r>
                  <w:r w:rsidR="002E23AD" w:rsidRPr="001A4147">
                    <w:rPr>
                      <w:rFonts w:ascii="Times New Roman" w:hAnsi="Times New Roman" w:cs="Times New Roman"/>
                      <w:sz w:val="16"/>
                      <w:szCs w:val="16"/>
                    </w:rPr>
                    <w:t xml:space="preserve"> </w:t>
                  </w:r>
                  <w:r w:rsidR="00E644AF">
                    <w:rPr>
                      <w:rFonts w:ascii="Times New Roman" w:hAnsi="Times New Roman" w:cs="Times New Roman"/>
                      <w:sz w:val="16"/>
                      <w:szCs w:val="16"/>
                    </w:rPr>
                    <w:t>288</w:t>
                  </w:r>
                  <w:r w:rsidRPr="001A4147">
                    <w:rPr>
                      <w:rFonts w:ascii="Times New Roman" w:hAnsi="Times New Roman" w:cs="Times New Roman"/>
                      <w:sz w:val="16"/>
                      <w:szCs w:val="16"/>
                    </w:rPr>
                    <w:t xml:space="preserve">.000,00 zł koszty pracodawcy = </w:t>
                  </w:r>
                  <w:r w:rsidR="00E644AF" w:rsidRPr="00461697">
                    <w:rPr>
                      <w:rFonts w:ascii="Times New Roman" w:hAnsi="Times New Roman" w:cs="Times New Roman"/>
                      <w:b/>
                      <w:bCs/>
                      <w:sz w:val="16"/>
                      <w:szCs w:val="16"/>
                    </w:rPr>
                    <w:t>1.440</w:t>
                  </w:r>
                  <w:r w:rsidRPr="00461697">
                    <w:rPr>
                      <w:rFonts w:ascii="Times New Roman" w:hAnsi="Times New Roman" w:cs="Times New Roman"/>
                      <w:b/>
                      <w:bCs/>
                      <w:sz w:val="16"/>
                      <w:szCs w:val="16"/>
                    </w:rPr>
                    <w:t>.000</w:t>
                  </w:r>
                  <w:r w:rsidR="00E644AF" w:rsidRPr="00461697">
                    <w:rPr>
                      <w:rFonts w:ascii="Times New Roman" w:hAnsi="Times New Roman" w:cs="Times New Roman"/>
                      <w:b/>
                      <w:bCs/>
                      <w:sz w:val="16"/>
                      <w:szCs w:val="16"/>
                    </w:rPr>
                    <w:t>,00</w:t>
                  </w:r>
                  <w:r w:rsidRPr="00461697">
                    <w:rPr>
                      <w:rFonts w:ascii="Times New Roman" w:hAnsi="Times New Roman" w:cs="Times New Roman"/>
                      <w:b/>
                      <w:bCs/>
                      <w:sz w:val="16"/>
                      <w:szCs w:val="16"/>
                    </w:rPr>
                    <w:t xml:space="preserve"> zł</w:t>
                  </w:r>
                </w:p>
              </w:tc>
              <w:tc>
                <w:tcPr>
                  <w:tcW w:w="1342" w:type="dxa"/>
                  <w:shd w:val="clear" w:color="auto" w:fill="BFBFBF" w:themeFill="background1" w:themeFillShade="BF"/>
                </w:tcPr>
                <w:p w14:paraId="43E5F71F" w14:textId="0CF85F10" w:rsidR="00B5006E" w:rsidRPr="00E3553C" w:rsidRDefault="00D16CA6" w:rsidP="002A5EE0">
                  <w:pPr>
                    <w:jc w:val="center"/>
                    <w:rPr>
                      <w:rFonts w:ascii="Times New Roman" w:hAnsi="Times New Roman" w:cs="Times New Roman"/>
                      <w:b/>
                      <w:bCs/>
                      <w:sz w:val="16"/>
                      <w:szCs w:val="16"/>
                    </w:rPr>
                  </w:pPr>
                  <w:r w:rsidRPr="00E3553C">
                    <w:rPr>
                      <w:rFonts w:ascii="Times New Roman" w:hAnsi="Times New Roman" w:cs="Times New Roman"/>
                      <w:b/>
                      <w:bCs/>
                      <w:sz w:val="16"/>
                      <w:szCs w:val="16"/>
                    </w:rPr>
                    <w:t xml:space="preserve">Łącznie: </w:t>
                  </w:r>
                  <w:r w:rsidR="005F67F8" w:rsidRPr="00E3553C">
                    <w:rPr>
                      <w:rFonts w:ascii="Times New Roman" w:hAnsi="Times New Roman" w:cs="Times New Roman"/>
                      <w:b/>
                      <w:bCs/>
                      <w:sz w:val="16"/>
                      <w:szCs w:val="16"/>
                    </w:rPr>
                    <w:t>4.992</w:t>
                  </w:r>
                  <w:r w:rsidR="00AA1CB7" w:rsidRPr="00E3553C">
                    <w:rPr>
                      <w:rFonts w:ascii="Times New Roman" w:hAnsi="Times New Roman" w:cs="Times New Roman"/>
                      <w:b/>
                      <w:bCs/>
                      <w:sz w:val="16"/>
                      <w:szCs w:val="16"/>
                    </w:rPr>
                    <w:t>.000</w:t>
                  </w:r>
                  <w:r w:rsidR="00DB1F33" w:rsidRPr="00E3553C">
                    <w:rPr>
                      <w:rFonts w:ascii="Times New Roman" w:hAnsi="Times New Roman" w:cs="Times New Roman"/>
                      <w:b/>
                      <w:bCs/>
                      <w:sz w:val="16"/>
                      <w:szCs w:val="16"/>
                    </w:rPr>
                    <w:t xml:space="preserve">,00 wynagrodzenie zasadnicze + </w:t>
                  </w:r>
                  <w:r w:rsidR="00EF0EA1" w:rsidRPr="00E3553C">
                    <w:rPr>
                      <w:rFonts w:ascii="Times New Roman" w:hAnsi="Times New Roman" w:cs="Times New Roman"/>
                      <w:b/>
                      <w:bCs/>
                      <w:sz w:val="16"/>
                      <w:szCs w:val="16"/>
                    </w:rPr>
                    <w:t>1.248.000,00</w:t>
                  </w:r>
                  <w:r w:rsidR="00335979" w:rsidRPr="00E3553C">
                    <w:rPr>
                      <w:rFonts w:ascii="Times New Roman" w:hAnsi="Times New Roman" w:cs="Times New Roman"/>
                      <w:b/>
                      <w:bCs/>
                      <w:sz w:val="16"/>
                      <w:szCs w:val="16"/>
                    </w:rPr>
                    <w:t xml:space="preserve"> </w:t>
                  </w:r>
                  <w:r w:rsidR="002A5EE0" w:rsidRPr="00E3553C">
                    <w:rPr>
                      <w:rFonts w:ascii="Times New Roman" w:hAnsi="Times New Roman" w:cs="Times New Roman"/>
                      <w:b/>
                      <w:bCs/>
                      <w:sz w:val="16"/>
                      <w:szCs w:val="16"/>
                    </w:rPr>
                    <w:t xml:space="preserve">koszty pracodawcy = </w:t>
                  </w:r>
                  <w:r w:rsidR="00E21483" w:rsidRPr="00E3553C">
                    <w:rPr>
                      <w:rFonts w:ascii="Times New Roman" w:hAnsi="Times New Roman" w:cs="Times New Roman"/>
                      <w:b/>
                      <w:bCs/>
                      <w:sz w:val="16"/>
                      <w:szCs w:val="16"/>
                    </w:rPr>
                    <w:t>6.</w:t>
                  </w:r>
                  <w:r w:rsidR="00EF0EA1" w:rsidRPr="00E3553C">
                    <w:rPr>
                      <w:rFonts w:ascii="Times New Roman" w:hAnsi="Times New Roman" w:cs="Times New Roman"/>
                      <w:b/>
                      <w:bCs/>
                      <w:sz w:val="16"/>
                      <w:szCs w:val="16"/>
                    </w:rPr>
                    <w:t>240</w:t>
                  </w:r>
                  <w:r w:rsidR="00E21483" w:rsidRPr="00E3553C">
                    <w:rPr>
                      <w:rFonts w:ascii="Times New Roman" w:hAnsi="Times New Roman" w:cs="Times New Roman"/>
                      <w:b/>
                      <w:bCs/>
                      <w:sz w:val="16"/>
                      <w:szCs w:val="16"/>
                    </w:rPr>
                    <w:t>.000,00</w:t>
                  </w:r>
                  <w:r w:rsidR="002A5EE0" w:rsidRPr="00E3553C">
                    <w:rPr>
                      <w:rFonts w:ascii="Times New Roman" w:hAnsi="Times New Roman" w:cs="Times New Roman"/>
                      <w:b/>
                      <w:bCs/>
                      <w:sz w:val="16"/>
                      <w:szCs w:val="16"/>
                    </w:rPr>
                    <w:t xml:space="preserve"> zł.</w:t>
                  </w:r>
                </w:p>
                <w:p w14:paraId="66E995EC" w14:textId="241B3C53" w:rsidR="00E21483" w:rsidRPr="00D13829" w:rsidRDefault="00E21483" w:rsidP="002A5EE0">
                  <w:pPr>
                    <w:jc w:val="center"/>
                    <w:rPr>
                      <w:rFonts w:ascii="Times New Roman" w:hAnsi="Times New Roman" w:cs="Times New Roman"/>
                      <w:b/>
                      <w:bCs/>
                      <w:sz w:val="16"/>
                      <w:szCs w:val="16"/>
                    </w:rPr>
                  </w:pPr>
                </w:p>
              </w:tc>
            </w:tr>
            <w:tr w:rsidR="00D13829" w:rsidRPr="00B5006E" w14:paraId="0B2F7DDC" w14:textId="77777777" w:rsidTr="00E94A0D">
              <w:tc>
                <w:tcPr>
                  <w:tcW w:w="1256" w:type="dxa"/>
                  <w:shd w:val="clear" w:color="auto" w:fill="auto"/>
                </w:tcPr>
                <w:p w14:paraId="6EA8A4C8" w14:textId="46E34277" w:rsidR="001E7CE1" w:rsidRPr="001A4147" w:rsidRDefault="003C059D" w:rsidP="006F713E">
                  <w:pPr>
                    <w:jc w:val="center"/>
                    <w:rPr>
                      <w:rFonts w:ascii="Times New Roman" w:hAnsi="Times New Roman" w:cs="Times New Roman"/>
                      <w:sz w:val="16"/>
                      <w:szCs w:val="16"/>
                    </w:rPr>
                  </w:pPr>
                  <w:r>
                    <w:rPr>
                      <w:rFonts w:ascii="Times New Roman" w:hAnsi="Times New Roman" w:cs="Times New Roman"/>
                      <w:sz w:val="16"/>
                      <w:szCs w:val="16"/>
                    </w:rPr>
                    <w:t>3</w:t>
                  </w:r>
                  <w:r w:rsidRPr="001A4147">
                    <w:rPr>
                      <w:rFonts w:ascii="Times New Roman" w:hAnsi="Times New Roman" w:cs="Times New Roman"/>
                      <w:sz w:val="16"/>
                      <w:szCs w:val="16"/>
                    </w:rPr>
                    <w:t xml:space="preserve"> </w:t>
                  </w:r>
                  <w:r w:rsidR="001E7CE1" w:rsidRPr="001A4147">
                    <w:rPr>
                      <w:rFonts w:ascii="Times New Roman" w:hAnsi="Times New Roman" w:cs="Times New Roman"/>
                      <w:sz w:val="16"/>
                      <w:szCs w:val="16"/>
                    </w:rPr>
                    <w:t xml:space="preserve">etaty </w:t>
                  </w:r>
                  <w:r w:rsidR="001E7CE1">
                    <w:rPr>
                      <w:rFonts w:ascii="Times New Roman" w:hAnsi="Times New Roman" w:cs="Times New Roman"/>
                      <w:sz w:val="16"/>
                      <w:szCs w:val="16"/>
                    </w:rPr>
                    <w:t>(spec ds. usług)</w:t>
                  </w:r>
                  <w:r w:rsidR="001E7CE1" w:rsidRPr="001A4147">
                    <w:rPr>
                      <w:rFonts w:ascii="Times New Roman" w:hAnsi="Times New Roman" w:cs="Times New Roman"/>
                      <w:sz w:val="16"/>
                      <w:szCs w:val="16"/>
                    </w:rPr>
                    <w:t xml:space="preserve"> x 12 m-</w:t>
                  </w:r>
                  <w:proofErr w:type="spellStart"/>
                  <w:r w:rsidR="001E7CE1" w:rsidRPr="001A4147">
                    <w:rPr>
                      <w:rFonts w:ascii="Times New Roman" w:hAnsi="Times New Roman" w:cs="Times New Roman"/>
                      <w:sz w:val="16"/>
                      <w:szCs w:val="16"/>
                    </w:rPr>
                    <w:t>cy</w:t>
                  </w:r>
                  <w:proofErr w:type="spellEnd"/>
                  <w:r w:rsidR="001E7CE1" w:rsidRPr="001A4147">
                    <w:rPr>
                      <w:rFonts w:ascii="Times New Roman" w:hAnsi="Times New Roman" w:cs="Times New Roman"/>
                      <w:sz w:val="16"/>
                      <w:szCs w:val="16"/>
                    </w:rPr>
                    <w:t xml:space="preserve"> x wynagrodzenie zasadnicze na stanowisku st. specjalisty wraz z kosztami pracodawcy wg obowiązującego</w:t>
                  </w:r>
                  <w:r w:rsidR="00AE6B8B">
                    <w:rPr>
                      <w:rFonts w:ascii="Times New Roman" w:hAnsi="Times New Roman" w:cs="Times New Roman"/>
                      <w:sz w:val="16"/>
                      <w:szCs w:val="16"/>
                    </w:rPr>
                    <w:t xml:space="preserve"> w PAŻP</w:t>
                  </w:r>
                  <w:r w:rsidR="001E7CE1" w:rsidRPr="001A4147">
                    <w:rPr>
                      <w:rFonts w:ascii="Times New Roman" w:hAnsi="Times New Roman" w:cs="Times New Roman"/>
                      <w:sz w:val="16"/>
                      <w:szCs w:val="16"/>
                    </w:rPr>
                    <w:t xml:space="preserve"> </w:t>
                  </w:r>
                  <w:r w:rsidR="00AE6B8B">
                    <w:rPr>
                      <w:rFonts w:ascii="Times New Roman" w:hAnsi="Times New Roman" w:cs="Times New Roman"/>
                      <w:sz w:val="16"/>
                      <w:szCs w:val="16"/>
                    </w:rPr>
                    <w:lastRenderedPageBreak/>
                    <w:t>r</w:t>
                  </w:r>
                  <w:r w:rsidR="001E7CE1" w:rsidRPr="001A4147">
                    <w:rPr>
                      <w:rFonts w:ascii="Times New Roman" w:hAnsi="Times New Roman" w:cs="Times New Roman"/>
                      <w:sz w:val="16"/>
                      <w:szCs w:val="16"/>
                    </w:rPr>
                    <w:t>egulamin</w:t>
                  </w:r>
                  <w:r w:rsidR="00AE6B8B">
                    <w:rPr>
                      <w:rFonts w:ascii="Times New Roman" w:hAnsi="Times New Roman" w:cs="Times New Roman"/>
                      <w:sz w:val="16"/>
                      <w:szCs w:val="16"/>
                    </w:rPr>
                    <w:t>u w</w:t>
                  </w:r>
                  <w:r w:rsidR="001E7CE1" w:rsidRPr="001A4147">
                    <w:rPr>
                      <w:rFonts w:ascii="Times New Roman" w:hAnsi="Times New Roman" w:cs="Times New Roman"/>
                      <w:sz w:val="16"/>
                      <w:szCs w:val="16"/>
                    </w:rPr>
                    <w:t>ynagradzania</w:t>
                  </w:r>
                </w:p>
                <w:p w14:paraId="11CA1376" w14:textId="32240BA5" w:rsidR="001E7CE1" w:rsidRPr="001A4147" w:rsidRDefault="001E7CE1" w:rsidP="006F713E">
                  <w:pPr>
                    <w:jc w:val="center"/>
                    <w:rPr>
                      <w:rFonts w:ascii="Times New Roman" w:hAnsi="Times New Roman" w:cs="Times New Roman"/>
                      <w:sz w:val="16"/>
                      <w:szCs w:val="16"/>
                    </w:rPr>
                  </w:pPr>
                  <w:r w:rsidRPr="001A4147">
                    <w:rPr>
                      <w:rFonts w:ascii="Times New Roman" w:hAnsi="Times New Roman" w:cs="Times New Roman"/>
                      <w:sz w:val="16"/>
                      <w:szCs w:val="16"/>
                    </w:rPr>
                    <w:t xml:space="preserve">Łącznie: </w:t>
                  </w:r>
                  <w:r w:rsidR="00C932F6">
                    <w:rPr>
                      <w:rFonts w:ascii="Times New Roman" w:hAnsi="Times New Roman" w:cs="Times New Roman"/>
                      <w:sz w:val="16"/>
                      <w:szCs w:val="16"/>
                    </w:rPr>
                    <w:t>612</w:t>
                  </w:r>
                  <w:r w:rsidRPr="001A4147">
                    <w:rPr>
                      <w:rFonts w:ascii="Times New Roman" w:hAnsi="Times New Roman" w:cs="Times New Roman"/>
                      <w:sz w:val="16"/>
                      <w:szCs w:val="16"/>
                    </w:rPr>
                    <w:t xml:space="preserve">.000,00 zł wynagrodzenie zasadnicze + </w:t>
                  </w:r>
                  <w:r w:rsidR="00AD0B90">
                    <w:rPr>
                      <w:rFonts w:ascii="Times New Roman" w:hAnsi="Times New Roman" w:cs="Times New Roman"/>
                      <w:sz w:val="16"/>
                      <w:szCs w:val="16"/>
                    </w:rPr>
                    <w:t>153</w:t>
                  </w:r>
                  <w:r w:rsidRPr="001A4147">
                    <w:rPr>
                      <w:rFonts w:ascii="Times New Roman" w:hAnsi="Times New Roman" w:cs="Times New Roman"/>
                      <w:sz w:val="16"/>
                      <w:szCs w:val="16"/>
                    </w:rPr>
                    <w:t xml:space="preserve">.000,00 zł koszty pracodawcy = </w:t>
                  </w:r>
                  <w:r w:rsidR="00750DBA">
                    <w:rPr>
                      <w:rFonts w:ascii="Times New Roman" w:hAnsi="Times New Roman" w:cs="Times New Roman"/>
                      <w:b/>
                      <w:bCs/>
                      <w:sz w:val="16"/>
                      <w:szCs w:val="16"/>
                    </w:rPr>
                    <w:t>765</w:t>
                  </w:r>
                  <w:r w:rsidRPr="002A2B38">
                    <w:rPr>
                      <w:rFonts w:ascii="Times New Roman" w:hAnsi="Times New Roman" w:cs="Times New Roman"/>
                      <w:b/>
                      <w:bCs/>
                      <w:sz w:val="16"/>
                      <w:szCs w:val="16"/>
                    </w:rPr>
                    <w:t>.000 zł</w:t>
                  </w:r>
                </w:p>
              </w:tc>
              <w:tc>
                <w:tcPr>
                  <w:tcW w:w="1256" w:type="dxa"/>
                  <w:shd w:val="clear" w:color="auto" w:fill="auto"/>
                </w:tcPr>
                <w:p w14:paraId="28E7F0C8" w14:textId="6C6849AF" w:rsidR="001E7CE1" w:rsidRPr="001A4147" w:rsidRDefault="003C059D" w:rsidP="006F713E">
                  <w:pPr>
                    <w:jc w:val="center"/>
                    <w:rPr>
                      <w:rFonts w:ascii="Times New Roman" w:hAnsi="Times New Roman" w:cs="Times New Roman"/>
                      <w:sz w:val="16"/>
                      <w:szCs w:val="16"/>
                    </w:rPr>
                  </w:pPr>
                  <w:r>
                    <w:rPr>
                      <w:rFonts w:ascii="Times New Roman" w:hAnsi="Times New Roman" w:cs="Times New Roman"/>
                      <w:sz w:val="16"/>
                      <w:szCs w:val="16"/>
                    </w:rPr>
                    <w:lastRenderedPageBreak/>
                    <w:t>3</w:t>
                  </w:r>
                  <w:r w:rsidRPr="001A4147">
                    <w:rPr>
                      <w:rFonts w:ascii="Times New Roman" w:hAnsi="Times New Roman" w:cs="Times New Roman"/>
                      <w:sz w:val="16"/>
                      <w:szCs w:val="16"/>
                    </w:rPr>
                    <w:t xml:space="preserve"> </w:t>
                  </w:r>
                  <w:r w:rsidR="001E7CE1" w:rsidRPr="001A4147">
                    <w:rPr>
                      <w:rFonts w:ascii="Times New Roman" w:hAnsi="Times New Roman" w:cs="Times New Roman"/>
                      <w:sz w:val="16"/>
                      <w:szCs w:val="16"/>
                    </w:rPr>
                    <w:t xml:space="preserve">etaty </w:t>
                  </w:r>
                  <w:r w:rsidR="001E7CE1">
                    <w:rPr>
                      <w:rFonts w:ascii="Times New Roman" w:hAnsi="Times New Roman" w:cs="Times New Roman"/>
                      <w:sz w:val="16"/>
                      <w:szCs w:val="16"/>
                    </w:rPr>
                    <w:t>(spec ds. usług)</w:t>
                  </w:r>
                  <w:r w:rsidR="001E7CE1" w:rsidRPr="001A4147">
                    <w:rPr>
                      <w:rFonts w:ascii="Times New Roman" w:hAnsi="Times New Roman" w:cs="Times New Roman"/>
                      <w:sz w:val="16"/>
                      <w:szCs w:val="16"/>
                    </w:rPr>
                    <w:t xml:space="preserve"> x 12 m-</w:t>
                  </w:r>
                  <w:proofErr w:type="spellStart"/>
                  <w:r w:rsidR="001E7CE1" w:rsidRPr="001A4147">
                    <w:rPr>
                      <w:rFonts w:ascii="Times New Roman" w:hAnsi="Times New Roman" w:cs="Times New Roman"/>
                      <w:sz w:val="16"/>
                      <w:szCs w:val="16"/>
                    </w:rPr>
                    <w:t>cy</w:t>
                  </w:r>
                  <w:proofErr w:type="spellEnd"/>
                  <w:r w:rsidR="001E7CE1" w:rsidRPr="001A4147">
                    <w:rPr>
                      <w:rFonts w:ascii="Times New Roman" w:hAnsi="Times New Roman" w:cs="Times New Roman"/>
                      <w:sz w:val="16"/>
                      <w:szCs w:val="16"/>
                    </w:rPr>
                    <w:t xml:space="preserve"> x wynagrodzenie zasadnicze na stanowisku st. specjalisty wraz z kosztami pracodawcy wg obowiązującego</w:t>
                  </w:r>
                  <w:r w:rsidR="00AE6B8B">
                    <w:rPr>
                      <w:rFonts w:ascii="Times New Roman" w:hAnsi="Times New Roman" w:cs="Times New Roman"/>
                      <w:sz w:val="16"/>
                      <w:szCs w:val="16"/>
                    </w:rPr>
                    <w:t xml:space="preserve"> w PAŻP </w:t>
                  </w:r>
                  <w:r w:rsidR="00AE6B8B">
                    <w:rPr>
                      <w:rFonts w:ascii="Times New Roman" w:hAnsi="Times New Roman" w:cs="Times New Roman"/>
                      <w:sz w:val="16"/>
                      <w:szCs w:val="16"/>
                    </w:rPr>
                    <w:lastRenderedPageBreak/>
                    <w:t>r</w:t>
                  </w:r>
                  <w:r w:rsidR="001E7CE1" w:rsidRPr="001A4147">
                    <w:rPr>
                      <w:rFonts w:ascii="Times New Roman" w:hAnsi="Times New Roman" w:cs="Times New Roman"/>
                      <w:sz w:val="16"/>
                      <w:szCs w:val="16"/>
                    </w:rPr>
                    <w:t>egulami</w:t>
                  </w:r>
                  <w:r w:rsidR="00AE6B8B">
                    <w:rPr>
                      <w:rFonts w:ascii="Times New Roman" w:hAnsi="Times New Roman" w:cs="Times New Roman"/>
                      <w:sz w:val="16"/>
                      <w:szCs w:val="16"/>
                    </w:rPr>
                    <w:t>nu w</w:t>
                  </w:r>
                  <w:r w:rsidR="001E7CE1" w:rsidRPr="001A4147">
                    <w:rPr>
                      <w:rFonts w:ascii="Times New Roman" w:hAnsi="Times New Roman" w:cs="Times New Roman"/>
                      <w:sz w:val="16"/>
                      <w:szCs w:val="16"/>
                    </w:rPr>
                    <w:t>ynagradzania</w:t>
                  </w:r>
                </w:p>
                <w:p w14:paraId="10595842" w14:textId="2C8A30FE" w:rsidR="001E7CE1" w:rsidRPr="001A4147" w:rsidRDefault="001E7CE1" w:rsidP="006F713E">
                  <w:pPr>
                    <w:jc w:val="center"/>
                    <w:rPr>
                      <w:rFonts w:ascii="Times New Roman" w:hAnsi="Times New Roman" w:cs="Times New Roman"/>
                      <w:sz w:val="16"/>
                      <w:szCs w:val="16"/>
                    </w:rPr>
                  </w:pPr>
                  <w:r w:rsidRPr="001A4147">
                    <w:rPr>
                      <w:rFonts w:ascii="Times New Roman" w:hAnsi="Times New Roman" w:cs="Times New Roman"/>
                      <w:sz w:val="16"/>
                      <w:szCs w:val="16"/>
                    </w:rPr>
                    <w:t xml:space="preserve">Łącznie: </w:t>
                  </w:r>
                  <w:r w:rsidR="00C932F6">
                    <w:rPr>
                      <w:rFonts w:ascii="Times New Roman" w:hAnsi="Times New Roman" w:cs="Times New Roman"/>
                      <w:sz w:val="16"/>
                      <w:szCs w:val="16"/>
                    </w:rPr>
                    <w:t>612</w:t>
                  </w:r>
                  <w:r w:rsidRPr="001A4147">
                    <w:rPr>
                      <w:rFonts w:ascii="Times New Roman" w:hAnsi="Times New Roman" w:cs="Times New Roman"/>
                      <w:sz w:val="16"/>
                      <w:szCs w:val="16"/>
                    </w:rPr>
                    <w:t xml:space="preserve">.000,00 zł wynagrodzenie zasadnicze + </w:t>
                  </w:r>
                  <w:r w:rsidR="00AD0B90">
                    <w:rPr>
                      <w:rFonts w:ascii="Times New Roman" w:hAnsi="Times New Roman" w:cs="Times New Roman"/>
                      <w:sz w:val="16"/>
                      <w:szCs w:val="16"/>
                    </w:rPr>
                    <w:t>153</w:t>
                  </w:r>
                  <w:r w:rsidRPr="001A4147">
                    <w:rPr>
                      <w:rFonts w:ascii="Times New Roman" w:hAnsi="Times New Roman" w:cs="Times New Roman"/>
                      <w:sz w:val="16"/>
                      <w:szCs w:val="16"/>
                    </w:rPr>
                    <w:t xml:space="preserve">.000,00 zł koszty pracodawcy = </w:t>
                  </w:r>
                  <w:r w:rsidR="00750DBA">
                    <w:rPr>
                      <w:rFonts w:ascii="Times New Roman" w:hAnsi="Times New Roman" w:cs="Times New Roman"/>
                      <w:b/>
                      <w:bCs/>
                      <w:sz w:val="16"/>
                      <w:szCs w:val="16"/>
                    </w:rPr>
                    <w:t>765</w:t>
                  </w:r>
                  <w:r w:rsidRPr="002A2B38">
                    <w:rPr>
                      <w:rFonts w:ascii="Times New Roman" w:hAnsi="Times New Roman" w:cs="Times New Roman"/>
                      <w:b/>
                      <w:bCs/>
                      <w:sz w:val="16"/>
                      <w:szCs w:val="16"/>
                    </w:rPr>
                    <w:t>.000 zł</w:t>
                  </w:r>
                </w:p>
              </w:tc>
              <w:tc>
                <w:tcPr>
                  <w:tcW w:w="1256" w:type="dxa"/>
                  <w:shd w:val="clear" w:color="auto" w:fill="auto"/>
                </w:tcPr>
                <w:p w14:paraId="3F1A1454" w14:textId="23264F33" w:rsidR="001E7CE1" w:rsidRPr="001A4147" w:rsidRDefault="003C059D" w:rsidP="006F713E">
                  <w:pPr>
                    <w:jc w:val="center"/>
                    <w:rPr>
                      <w:rFonts w:ascii="Times New Roman" w:hAnsi="Times New Roman" w:cs="Times New Roman"/>
                      <w:sz w:val="16"/>
                      <w:szCs w:val="16"/>
                    </w:rPr>
                  </w:pPr>
                  <w:r>
                    <w:rPr>
                      <w:rFonts w:ascii="Times New Roman" w:hAnsi="Times New Roman" w:cs="Times New Roman"/>
                      <w:sz w:val="16"/>
                      <w:szCs w:val="16"/>
                    </w:rPr>
                    <w:lastRenderedPageBreak/>
                    <w:t>3</w:t>
                  </w:r>
                  <w:r w:rsidRPr="001A4147">
                    <w:rPr>
                      <w:rFonts w:ascii="Times New Roman" w:hAnsi="Times New Roman" w:cs="Times New Roman"/>
                      <w:sz w:val="16"/>
                      <w:szCs w:val="16"/>
                    </w:rPr>
                    <w:t xml:space="preserve"> </w:t>
                  </w:r>
                  <w:r w:rsidR="001E7CE1" w:rsidRPr="001A4147">
                    <w:rPr>
                      <w:rFonts w:ascii="Times New Roman" w:hAnsi="Times New Roman" w:cs="Times New Roman"/>
                      <w:sz w:val="16"/>
                      <w:szCs w:val="16"/>
                    </w:rPr>
                    <w:t xml:space="preserve">etaty </w:t>
                  </w:r>
                  <w:r w:rsidR="001E7CE1">
                    <w:rPr>
                      <w:rFonts w:ascii="Times New Roman" w:hAnsi="Times New Roman" w:cs="Times New Roman"/>
                      <w:sz w:val="16"/>
                      <w:szCs w:val="16"/>
                    </w:rPr>
                    <w:t>(spec ds. usług)</w:t>
                  </w:r>
                  <w:r w:rsidR="001E7CE1" w:rsidRPr="001A4147">
                    <w:rPr>
                      <w:rFonts w:ascii="Times New Roman" w:hAnsi="Times New Roman" w:cs="Times New Roman"/>
                      <w:sz w:val="16"/>
                      <w:szCs w:val="16"/>
                    </w:rPr>
                    <w:t xml:space="preserve"> x 12 m-</w:t>
                  </w:r>
                  <w:proofErr w:type="spellStart"/>
                  <w:r w:rsidR="001E7CE1" w:rsidRPr="001A4147">
                    <w:rPr>
                      <w:rFonts w:ascii="Times New Roman" w:hAnsi="Times New Roman" w:cs="Times New Roman"/>
                      <w:sz w:val="16"/>
                      <w:szCs w:val="16"/>
                    </w:rPr>
                    <w:t>cy</w:t>
                  </w:r>
                  <w:proofErr w:type="spellEnd"/>
                  <w:r w:rsidR="001E7CE1" w:rsidRPr="001A4147">
                    <w:rPr>
                      <w:rFonts w:ascii="Times New Roman" w:hAnsi="Times New Roman" w:cs="Times New Roman"/>
                      <w:sz w:val="16"/>
                      <w:szCs w:val="16"/>
                    </w:rPr>
                    <w:t xml:space="preserve"> x wynagrodzenie zasadnicze na stanowisku st. specjalisty wraz z kosztami pracodawcy wg obowiązującego </w:t>
                  </w:r>
                  <w:r w:rsidR="00AE6B8B">
                    <w:rPr>
                      <w:rFonts w:ascii="Times New Roman" w:hAnsi="Times New Roman" w:cs="Times New Roman"/>
                      <w:sz w:val="16"/>
                      <w:szCs w:val="16"/>
                    </w:rPr>
                    <w:t xml:space="preserve">w PAŻP </w:t>
                  </w:r>
                  <w:r w:rsidR="00AE6B8B">
                    <w:rPr>
                      <w:rFonts w:ascii="Times New Roman" w:hAnsi="Times New Roman" w:cs="Times New Roman"/>
                      <w:sz w:val="16"/>
                      <w:szCs w:val="16"/>
                    </w:rPr>
                    <w:lastRenderedPageBreak/>
                    <w:t>r</w:t>
                  </w:r>
                  <w:r w:rsidR="001E7CE1" w:rsidRPr="001A4147">
                    <w:rPr>
                      <w:rFonts w:ascii="Times New Roman" w:hAnsi="Times New Roman" w:cs="Times New Roman"/>
                      <w:sz w:val="16"/>
                      <w:szCs w:val="16"/>
                    </w:rPr>
                    <w:t>egulam</w:t>
                  </w:r>
                  <w:r w:rsidR="00AE6B8B">
                    <w:rPr>
                      <w:rFonts w:ascii="Times New Roman" w:hAnsi="Times New Roman" w:cs="Times New Roman"/>
                      <w:sz w:val="16"/>
                      <w:szCs w:val="16"/>
                    </w:rPr>
                    <w:t>inu w</w:t>
                  </w:r>
                  <w:r w:rsidR="001E7CE1" w:rsidRPr="001A4147">
                    <w:rPr>
                      <w:rFonts w:ascii="Times New Roman" w:hAnsi="Times New Roman" w:cs="Times New Roman"/>
                      <w:sz w:val="16"/>
                      <w:szCs w:val="16"/>
                    </w:rPr>
                    <w:t>ynagradzania</w:t>
                  </w:r>
                </w:p>
                <w:p w14:paraId="4E9B8CE7" w14:textId="0D00910C" w:rsidR="001E7CE1" w:rsidRPr="001A4147" w:rsidRDefault="001E7CE1" w:rsidP="006F713E">
                  <w:pPr>
                    <w:jc w:val="center"/>
                    <w:rPr>
                      <w:rFonts w:ascii="Times New Roman" w:hAnsi="Times New Roman" w:cs="Times New Roman"/>
                      <w:sz w:val="16"/>
                      <w:szCs w:val="16"/>
                    </w:rPr>
                  </w:pPr>
                  <w:r w:rsidRPr="001A4147">
                    <w:rPr>
                      <w:rFonts w:ascii="Times New Roman" w:hAnsi="Times New Roman" w:cs="Times New Roman"/>
                      <w:sz w:val="16"/>
                      <w:szCs w:val="16"/>
                    </w:rPr>
                    <w:t xml:space="preserve">Łącznie: </w:t>
                  </w:r>
                  <w:r w:rsidR="00C932F6">
                    <w:rPr>
                      <w:rFonts w:ascii="Times New Roman" w:hAnsi="Times New Roman" w:cs="Times New Roman"/>
                      <w:sz w:val="16"/>
                      <w:szCs w:val="16"/>
                    </w:rPr>
                    <w:t>612</w:t>
                  </w:r>
                  <w:r w:rsidRPr="001A4147">
                    <w:rPr>
                      <w:rFonts w:ascii="Times New Roman" w:hAnsi="Times New Roman" w:cs="Times New Roman"/>
                      <w:sz w:val="16"/>
                      <w:szCs w:val="16"/>
                    </w:rPr>
                    <w:t xml:space="preserve">.000,00 zł wynagrodzenie zasadnicze + </w:t>
                  </w:r>
                  <w:r w:rsidR="00AD0B90">
                    <w:rPr>
                      <w:rFonts w:ascii="Times New Roman" w:hAnsi="Times New Roman" w:cs="Times New Roman"/>
                      <w:sz w:val="16"/>
                      <w:szCs w:val="16"/>
                    </w:rPr>
                    <w:t>153</w:t>
                  </w:r>
                  <w:r w:rsidRPr="001A4147">
                    <w:rPr>
                      <w:rFonts w:ascii="Times New Roman" w:hAnsi="Times New Roman" w:cs="Times New Roman"/>
                      <w:sz w:val="16"/>
                      <w:szCs w:val="16"/>
                    </w:rPr>
                    <w:t xml:space="preserve">.000,00 zł koszty pracodawcy = </w:t>
                  </w:r>
                  <w:r w:rsidR="00750DBA">
                    <w:rPr>
                      <w:rFonts w:ascii="Times New Roman" w:hAnsi="Times New Roman" w:cs="Times New Roman"/>
                      <w:b/>
                      <w:bCs/>
                      <w:sz w:val="16"/>
                      <w:szCs w:val="16"/>
                    </w:rPr>
                    <w:t>765</w:t>
                  </w:r>
                  <w:r w:rsidRPr="002A2B38">
                    <w:rPr>
                      <w:rFonts w:ascii="Times New Roman" w:hAnsi="Times New Roman" w:cs="Times New Roman"/>
                      <w:b/>
                      <w:bCs/>
                      <w:sz w:val="16"/>
                      <w:szCs w:val="16"/>
                    </w:rPr>
                    <w:t>.000 zł</w:t>
                  </w:r>
                </w:p>
              </w:tc>
              <w:tc>
                <w:tcPr>
                  <w:tcW w:w="1256" w:type="dxa"/>
                  <w:shd w:val="clear" w:color="auto" w:fill="auto"/>
                </w:tcPr>
                <w:p w14:paraId="6EDD3F44" w14:textId="6BEE8F64" w:rsidR="001E7CE1" w:rsidRPr="001A4147" w:rsidRDefault="003C059D" w:rsidP="006F713E">
                  <w:pPr>
                    <w:jc w:val="center"/>
                    <w:rPr>
                      <w:rFonts w:ascii="Times New Roman" w:hAnsi="Times New Roman" w:cs="Times New Roman"/>
                      <w:sz w:val="16"/>
                      <w:szCs w:val="16"/>
                    </w:rPr>
                  </w:pPr>
                  <w:r>
                    <w:rPr>
                      <w:rFonts w:ascii="Times New Roman" w:hAnsi="Times New Roman" w:cs="Times New Roman"/>
                      <w:sz w:val="16"/>
                      <w:szCs w:val="16"/>
                    </w:rPr>
                    <w:lastRenderedPageBreak/>
                    <w:t>3</w:t>
                  </w:r>
                  <w:r w:rsidRPr="001A4147">
                    <w:rPr>
                      <w:rFonts w:ascii="Times New Roman" w:hAnsi="Times New Roman" w:cs="Times New Roman"/>
                      <w:sz w:val="16"/>
                      <w:szCs w:val="16"/>
                    </w:rPr>
                    <w:t xml:space="preserve"> </w:t>
                  </w:r>
                  <w:r w:rsidR="001E7CE1" w:rsidRPr="001A4147">
                    <w:rPr>
                      <w:rFonts w:ascii="Times New Roman" w:hAnsi="Times New Roman" w:cs="Times New Roman"/>
                      <w:sz w:val="16"/>
                      <w:szCs w:val="16"/>
                    </w:rPr>
                    <w:t xml:space="preserve">etaty </w:t>
                  </w:r>
                  <w:r w:rsidR="001E7CE1">
                    <w:rPr>
                      <w:rFonts w:ascii="Times New Roman" w:hAnsi="Times New Roman" w:cs="Times New Roman"/>
                      <w:sz w:val="16"/>
                      <w:szCs w:val="16"/>
                    </w:rPr>
                    <w:t>(spec ds. usług)</w:t>
                  </w:r>
                  <w:r w:rsidR="001E7CE1" w:rsidRPr="001A4147">
                    <w:rPr>
                      <w:rFonts w:ascii="Times New Roman" w:hAnsi="Times New Roman" w:cs="Times New Roman"/>
                      <w:sz w:val="16"/>
                      <w:szCs w:val="16"/>
                    </w:rPr>
                    <w:t xml:space="preserve"> x 12 m-</w:t>
                  </w:r>
                  <w:proofErr w:type="spellStart"/>
                  <w:r w:rsidR="001E7CE1" w:rsidRPr="001A4147">
                    <w:rPr>
                      <w:rFonts w:ascii="Times New Roman" w:hAnsi="Times New Roman" w:cs="Times New Roman"/>
                      <w:sz w:val="16"/>
                      <w:szCs w:val="16"/>
                    </w:rPr>
                    <w:t>cy</w:t>
                  </w:r>
                  <w:proofErr w:type="spellEnd"/>
                  <w:r w:rsidR="001E7CE1" w:rsidRPr="001A4147">
                    <w:rPr>
                      <w:rFonts w:ascii="Times New Roman" w:hAnsi="Times New Roman" w:cs="Times New Roman"/>
                      <w:sz w:val="16"/>
                      <w:szCs w:val="16"/>
                    </w:rPr>
                    <w:t xml:space="preserve"> x wynagrodzenie zasadnicze na stanowisku st. specjalisty wraz z kosztami pracodawcy wg obowiązującego</w:t>
                  </w:r>
                  <w:r w:rsidR="00AE6B8B">
                    <w:rPr>
                      <w:rFonts w:ascii="Times New Roman" w:hAnsi="Times New Roman" w:cs="Times New Roman"/>
                      <w:sz w:val="16"/>
                      <w:szCs w:val="16"/>
                    </w:rPr>
                    <w:t xml:space="preserve"> w PAŻP </w:t>
                  </w:r>
                  <w:r w:rsidR="00AE6B8B">
                    <w:rPr>
                      <w:rFonts w:ascii="Times New Roman" w:hAnsi="Times New Roman" w:cs="Times New Roman"/>
                      <w:sz w:val="16"/>
                      <w:szCs w:val="16"/>
                    </w:rPr>
                    <w:lastRenderedPageBreak/>
                    <w:t>r</w:t>
                  </w:r>
                  <w:r w:rsidR="001E7CE1" w:rsidRPr="001A4147">
                    <w:rPr>
                      <w:rFonts w:ascii="Times New Roman" w:hAnsi="Times New Roman" w:cs="Times New Roman"/>
                      <w:sz w:val="16"/>
                      <w:szCs w:val="16"/>
                    </w:rPr>
                    <w:t>egula</w:t>
                  </w:r>
                  <w:r w:rsidR="00AE6B8B">
                    <w:rPr>
                      <w:rFonts w:ascii="Times New Roman" w:hAnsi="Times New Roman" w:cs="Times New Roman"/>
                      <w:sz w:val="16"/>
                      <w:szCs w:val="16"/>
                    </w:rPr>
                    <w:t>minu w</w:t>
                  </w:r>
                  <w:r w:rsidR="001E7CE1" w:rsidRPr="001A4147">
                    <w:rPr>
                      <w:rFonts w:ascii="Times New Roman" w:hAnsi="Times New Roman" w:cs="Times New Roman"/>
                      <w:sz w:val="16"/>
                      <w:szCs w:val="16"/>
                    </w:rPr>
                    <w:t>ynagradzania</w:t>
                  </w:r>
                </w:p>
                <w:p w14:paraId="40796B36" w14:textId="78398AEE" w:rsidR="001E7CE1" w:rsidRPr="001A4147" w:rsidRDefault="001E7CE1" w:rsidP="006F713E">
                  <w:pPr>
                    <w:jc w:val="center"/>
                    <w:rPr>
                      <w:rFonts w:ascii="Times New Roman" w:hAnsi="Times New Roman" w:cs="Times New Roman"/>
                      <w:sz w:val="16"/>
                      <w:szCs w:val="16"/>
                    </w:rPr>
                  </w:pPr>
                  <w:r w:rsidRPr="001A4147">
                    <w:rPr>
                      <w:rFonts w:ascii="Times New Roman" w:hAnsi="Times New Roman" w:cs="Times New Roman"/>
                      <w:sz w:val="16"/>
                      <w:szCs w:val="16"/>
                    </w:rPr>
                    <w:t xml:space="preserve">Łącznie: </w:t>
                  </w:r>
                  <w:r w:rsidR="00C932F6">
                    <w:rPr>
                      <w:rFonts w:ascii="Times New Roman" w:hAnsi="Times New Roman" w:cs="Times New Roman"/>
                      <w:sz w:val="16"/>
                      <w:szCs w:val="16"/>
                    </w:rPr>
                    <w:t>612</w:t>
                  </w:r>
                  <w:r w:rsidRPr="001A4147">
                    <w:rPr>
                      <w:rFonts w:ascii="Times New Roman" w:hAnsi="Times New Roman" w:cs="Times New Roman"/>
                      <w:sz w:val="16"/>
                      <w:szCs w:val="16"/>
                    </w:rPr>
                    <w:t xml:space="preserve">.000,00 zł wynagrodzenie zasadnicze + </w:t>
                  </w:r>
                  <w:r w:rsidR="00AD0B90">
                    <w:rPr>
                      <w:rFonts w:ascii="Times New Roman" w:hAnsi="Times New Roman" w:cs="Times New Roman"/>
                      <w:sz w:val="16"/>
                      <w:szCs w:val="16"/>
                    </w:rPr>
                    <w:t>153</w:t>
                  </w:r>
                  <w:r w:rsidRPr="001A4147">
                    <w:rPr>
                      <w:rFonts w:ascii="Times New Roman" w:hAnsi="Times New Roman" w:cs="Times New Roman"/>
                      <w:sz w:val="16"/>
                      <w:szCs w:val="16"/>
                    </w:rPr>
                    <w:t xml:space="preserve">.000,00 zł koszty pracodawcy = </w:t>
                  </w:r>
                  <w:r w:rsidR="00750DBA">
                    <w:rPr>
                      <w:rFonts w:ascii="Times New Roman" w:hAnsi="Times New Roman" w:cs="Times New Roman"/>
                      <w:b/>
                      <w:bCs/>
                      <w:sz w:val="16"/>
                      <w:szCs w:val="16"/>
                    </w:rPr>
                    <w:t>765</w:t>
                  </w:r>
                  <w:r w:rsidRPr="002A2B38">
                    <w:rPr>
                      <w:rFonts w:ascii="Times New Roman" w:hAnsi="Times New Roman" w:cs="Times New Roman"/>
                      <w:b/>
                      <w:bCs/>
                      <w:sz w:val="16"/>
                      <w:szCs w:val="16"/>
                    </w:rPr>
                    <w:t>.000 zł</w:t>
                  </w:r>
                </w:p>
              </w:tc>
              <w:tc>
                <w:tcPr>
                  <w:tcW w:w="1256" w:type="dxa"/>
                  <w:shd w:val="clear" w:color="auto" w:fill="auto"/>
                </w:tcPr>
                <w:p w14:paraId="47F57D07" w14:textId="33C7AFD6" w:rsidR="001E7CE1" w:rsidRPr="001A4147" w:rsidRDefault="003C059D" w:rsidP="006F713E">
                  <w:pPr>
                    <w:jc w:val="center"/>
                    <w:rPr>
                      <w:rFonts w:ascii="Times New Roman" w:hAnsi="Times New Roman" w:cs="Times New Roman"/>
                      <w:sz w:val="16"/>
                      <w:szCs w:val="16"/>
                    </w:rPr>
                  </w:pPr>
                  <w:r>
                    <w:rPr>
                      <w:rFonts w:ascii="Times New Roman" w:hAnsi="Times New Roman" w:cs="Times New Roman"/>
                      <w:sz w:val="16"/>
                      <w:szCs w:val="16"/>
                    </w:rPr>
                    <w:lastRenderedPageBreak/>
                    <w:t>3</w:t>
                  </w:r>
                  <w:r w:rsidRPr="001A4147">
                    <w:rPr>
                      <w:rFonts w:ascii="Times New Roman" w:hAnsi="Times New Roman" w:cs="Times New Roman"/>
                      <w:sz w:val="16"/>
                      <w:szCs w:val="16"/>
                    </w:rPr>
                    <w:t xml:space="preserve"> </w:t>
                  </w:r>
                  <w:r w:rsidR="001E7CE1" w:rsidRPr="001A4147">
                    <w:rPr>
                      <w:rFonts w:ascii="Times New Roman" w:hAnsi="Times New Roman" w:cs="Times New Roman"/>
                      <w:sz w:val="16"/>
                      <w:szCs w:val="16"/>
                    </w:rPr>
                    <w:t xml:space="preserve">etaty </w:t>
                  </w:r>
                  <w:r w:rsidR="001E7CE1">
                    <w:rPr>
                      <w:rFonts w:ascii="Times New Roman" w:hAnsi="Times New Roman" w:cs="Times New Roman"/>
                      <w:sz w:val="16"/>
                      <w:szCs w:val="16"/>
                    </w:rPr>
                    <w:t>(spec ds. usług)</w:t>
                  </w:r>
                  <w:r w:rsidR="001E7CE1" w:rsidRPr="001A4147">
                    <w:rPr>
                      <w:rFonts w:ascii="Times New Roman" w:hAnsi="Times New Roman" w:cs="Times New Roman"/>
                      <w:sz w:val="16"/>
                      <w:szCs w:val="16"/>
                    </w:rPr>
                    <w:t xml:space="preserve"> x 12 m-</w:t>
                  </w:r>
                  <w:proofErr w:type="spellStart"/>
                  <w:r w:rsidR="001E7CE1" w:rsidRPr="001A4147">
                    <w:rPr>
                      <w:rFonts w:ascii="Times New Roman" w:hAnsi="Times New Roman" w:cs="Times New Roman"/>
                      <w:sz w:val="16"/>
                      <w:szCs w:val="16"/>
                    </w:rPr>
                    <w:t>cy</w:t>
                  </w:r>
                  <w:proofErr w:type="spellEnd"/>
                  <w:r w:rsidR="001E7CE1" w:rsidRPr="001A4147">
                    <w:rPr>
                      <w:rFonts w:ascii="Times New Roman" w:hAnsi="Times New Roman" w:cs="Times New Roman"/>
                      <w:sz w:val="16"/>
                      <w:szCs w:val="16"/>
                    </w:rPr>
                    <w:t xml:space="preserve"> x wynagrodzenie zasadnicze na stanowisku st. specjalisty wraz z kosztami pracodawcy wg obowiązującego</w:t>
                  </w:r>
                  <w:r w:rsidR="00AE6B8B">
                    <w:rPr>
                      <w:rFonts w:ascii="Times New Roman" w:hAnsi="Times New Roman" w:cs="Times New Roman"/>
                      <w:sz w:val="16"/>
                      <w:szCs w:val="16"/>
                    </w:rPr>
                    <w:t xml:space="preserve"> w PAŻP </w:t>
                  </w:r>
                  <w:r w:rsidR="00AE6B8B">
                    <w:rPr>
                      <w:rFonts w:ascii="Times New Roman" w:hAnsi="Times New Roman" w:cs="Times New Roman"/>
                      <w:sz w:val="16"/>
                      <w:szCs w:val="16"/>
                    </w:rPr>
                    <w:lastRenderedPageBreak/>
                    <w:t>r</w:t>
                  </w:r>
                  <w:r w:rsidR="001E7CE1" w:rsidRPr="001A4147">
                    <w:rPr>
                      <w:rFonts w:ascii="Times New Roman" w:hAnsi="Times New Roman" w:cs="Times New Roman"/>
                      <w:sz w:val="16"/>
                      <w:szCs w:val="16"/>
                    </w:rPr>
                    <w:t>egul</w:t>
                  </w:r>
                  <w:r w:rsidR="00AE6B8B">
                    <w:rPr>
                      <w:rFonts w:ascii="Times New Roman" w:hAnsi="Times New Roman" w:cs="Times New Roman"/>
                      <w:sz w:val="16"/>
                      <w:szCs w:val="16"/>
                    </w:rPr>
                    <w:t>aminu w</w:t>
                  </w:r>
                  <w:r w:rsidR="001E7CE1" w:rsidRPr="001A4147">
                    <w:rPr>
                      <w:rFonts w:ascii="Times New Roman" w:hAnsi="Times New Roman" w:cs="Times New Roman"/>
                      <w:sz w:val="16"/>
                      <w:szCs w:val="16"/>
                    </w:rPr>
                    <w:t>ynagradzania</w:t>
                  </w:r>
                </w:p>
                <w:p w14:paraId="0D12C2AC" w14:textId="3BA1E14F" w:rsidR="001E7CE1" w:rsidRPr="001A4147" w:rsidRDefault="001E7CE1" w:rsidP="006F713E">
                  <w:pPr>
                    <w:jc w:val="center"/>
                    <w:rPr>
                      <w:rFonts w:ascii="Times New Roman" w:hAnsi="Times New Roman" w:cs="Times New Roman"/>
                      <w:sz w:val="16"/>
                      <w:szCs w:val="16"/>
                    </w:rPr>
                  </w:pPr>
                  <w:r w:rsidRPr="001A4147">
                    <w:rPr>
                      <w:rFonts w:ascii="Times New Roman" w:hAnsi="Times New Roman" w:cs="Times New Roman"/>
                      <w:sz w:val="16"/>
                      <w:szCs w:val="16"/>
                    </w:rPr>
                    <w:t xml:space="preserve">Łącznie: </w:t>
                  </w:r>
                  <w:r w:rsidR="00C932F6">
                    <w:rPr>
                      <w:rFonts w:ascii="Times New Roman" w:hAnsi="Times New Roman" w:cs="Times New Roman"/>
                      <w:sz w:val="16"/>
                      <w:szCs w:val="16"/>
                    </w:rPr>
                    <w:t>612</w:t>
                  </w:r>
                  <w:r w:rsidRPr="001A4147">
                    <w:rPr>
                      <w:rFonts w:ascii="Times New Roman" w:hAnsi="Times New Roman" w:cs="Times New Roman"/>
                      <w:sz w:val="16"/>
                      <w:szCs w:val="16"/>
                    </w:rPr>
                    <w:t xml:space="preserve">.000,00 zł wynagrodzenie zasadnicze + </w:t>
                  </w:r>
                  <w:r w:rsidR="00AD0B90">
                    <w:rPr>
                      <w:rFonts w:ascii="Times New Roman" w:hAnsi="Times New Roman" w:cs="Times New Roman"/>
                      <w:sz w:val="16"/>
                      <w:szCs w:val="16"/>
                    </w:rPr>
                    <w:t>153</w:t>
                  </w:r>
                  <w:r w:rsidRPr="001A4147">
                    <w:rPr>
                      <w:rFonts w:ascii="Times New Roman" w:hAnsi="Times New Roman" w:cs="Times New Roman"/>
                      <w:sz w:val="16"/>
                      <w:szCs w:val="16"/>
                    </w:rPr>
                    <w:t xml:space="preserve">.000,00 zł koszty pracodawcy = </w:t>
                  </w:r>
                  <w:r w:rsidR="00750DBA">
                    <w:rPr>
                      <w:rFonts w:ascii="Times New Roman" w:hAnsi="Times New Roman" w:cs="Times New Roman"/>
                      <w:b/>
                      <w:bCs/>
                      <w:sz w:val="16"/>
                      <w:szCs w:val="16"/>
                    </w:rPr>
                    <w:t>765</w:t>
                  </w:r>
                  <w:r w:rsidRPr="002A2B38">
                    <w:rPr>
                      <w:rFonts w:ascii="Times New Roman" w:hAnsi="Times New Roman" w:cs="Times New Roman"/>
                      <w:b/>
                      <w:bCs/>
                      <w:sz w:val="16"/>
                      <w:szCs w:val="16"/>
                    </w:rPr>
                    <w:t>.000 zł</w:t>
                  </w:r>
                </w:p>
              </w:tc>
              <w:tc>
                <w:tcPr>
                  <w:tcW w:w="1342" w:type="dxa"/>
                  <w:shd w:val="clear" w:color="auto" w:fill="BFBFBF" w:themeFill="background1" w:themeFillShade="BF"/>
                </w:tcPr>
                <w:p w14:paraId="4658E1E6" w14:textId="4CBF9B09" w:rsidR="001E7CE1" w:rsidRPr="004B0A7E" w:rsidRDefault="001E7CE1" w:rsidP="006F713E">
                  <w:pPr>
                    <w:jc w:val="center"/>
                    <w:rPr>
                      <w:rFonts w:ascii="Times New Roman" w:hAnsi="Times New Roman" w:cs="Times New Roman"/>
                      <w:b/>
                      <w:bCs/>
                      <w:sz w:val="16"/>
                      <w:szCs w:val="16"/>
                    </w:rPr>
                  </w:pPr>
                  <w:r w:rsidRPr="004B0A7E">
                    <w:rPr>
                      <w:rFonts w:ascii="Times New Roman" w:hAnsi="Times New Roman" w:cs="Times New Roman"/>
                      <w:b/>
                      <w:bCs/>
                      <w:sz w:val="16"/>
                      <w:szCs w:val="16"/>
                    </w:rPr>
                    <w:lastRenderedPageBreak/>
                    <w:t xml:space="preserve">Łącznie: </w:t>
                  </w:r>
                  <w:r w:rsidR="00A12309" w:rsidRPr="004B0A7E">
                    <w:rPr>
                      <w:rFonts w:ascii="Times New Roman" w:hAnsi="Times New Roman" w:cs="Times New Roman"/>
                      <w:b/>
                      <w:bCs/>
                      <w:sz w:val="16"/>
                      <w:szCs w:val="16"/>
                    </w:rPr>
                    <w:t>3.060</w:t>
                  </w:r>
                  <w:r w:rsidRPr="004B0A7E">
                    <w:rPr>
                      <w:rFonts w:ascii="Times New Roman" w:hAnsi="Times New Roman" w:cs="Times New Roman"/>
                      <w:b/>
                      <w:bCs/>
                      <w:sz w:val="16"/>
                      <w:szCs w:val="16"/>
                    </w:rPr>
                    <w:t xml:space="preserve">.000,00 wynagrodzenie zasadnicze + </w:t>
                  </w:r>
                  <w:r w:rsidR="00187736" w:rsidRPr="004B0A7E">
                    <w:rPr>
                      <w:rFonts w:ascii="Times New Roman" w:hAnsi="Times New Roman" w:cs="Times New Roman"/>
                      <w:b/>
                      <w:bCs/>
                      <w:sz w:val="16"/>
                      <w:szCs w:val="16"/>
                    </w:rPr>
                    <w:t>765.000</w:t>
                  </w:r>
                  <w:r w:rsidRPr="004B0A7E">
                    <w:rPr>
                      <w:rFonts w:ascii="Times New Roman" w:hAnsi="Times New Roman" w:cs="Times New Roman"/>
                      <w:b/>
                      <w:bCs/>
                      <w:sz w:val="16"/>
                      <w:szCs w:val="16"/>
                    </w:rPr>
                    <w:t xml:space="preserve">,00 koszty pracodawcy = </w:t>
                  </w:r>
                  <w:r w:rsidR="00A12309" w:rsidRPr="004B0A7E">
                    <w:rPr>
                      <w:rFonts w:ascii="Times New Roman" w:hAnsi="Times New Roman" w:cs="Times New Roman"/>
                      <w:b/>
                      <w:bCs/>
                      <w:sz w:val="16"/>
                      <w:szCs w:val="16"/>
                    </w:rPr>
                    <w:t>3.825</w:t>
                  </w:r>
                  <w:r w:rsidRPr="004B0A7E">
                    <w:rPr>
                      <w:rFonts w:ascii="Times New Roman" w:hAnsi="Times New Roman" w:cs="Times New Roman"/>
                      <w:b/>
                      <w:bCs/>
                      <w:sz w:val="16"/>
                      <w:szCs w:val="16"/>
                    </w:rPr>
                    <w:t>.000,00 zł.</w:t>
                  </w:r>
                </w:p>
                <w:p w14:paraId="23C301F9" w14:textId="77777777" w:rsidR="001E7CE1" w:rsidRPr="00D13829" w:rsidRDefault="001E7CE1" w:rsidP="006F713E">
                  <w:pPr>
                    <w:jc w:val="center"/>
                    <w:rPr>
                      <w:rFonts w:ascii="Times New Roman" w:hAnsi="Times New Roman" w:cs="Times New Roman"/>
                      <w:b/>
                      <w:bCs/>
                      <w:sz w:val="16"/>
                      <w:szCs w:val="16"/>
                    </w:rPr>
                  </w:pPr>
                </w:p>
              </w:tc>
            </w:tr>
            <w:tr w:rsidR="009E0295" w:rsidRPr="00B5006E" w14:paraId="4FDF9E54" w14:textId="77777777" w:rsidTr="00694876">
              <w:trPr>
                <w:trHeight w:val="1600"/>
              </w:trPr>
              <w:tc>
                <w:tcPr>
                  <w:tcW w:w="1256" w:type="dxa"/>
                  <w:shd w:val="clear" w:color="auto" w:fill="D9D9D9" w:themeFill="background1" w:themeFillShade="D9"/>
                </w:tcPr>
                <w:p w14:paraId="37FC1094" w14:textId="5061178E" w:rsidR="0080295F" w:rsidRPr="004B0A7E" w:rsidRDefault="0080295F" w:rsidP="006F713E">
                  <w:pPr>
                    <w:jc w:val="center"/>
                    <w:rPr>
                      <w:rFonts w:ascii="Times New Roman" w:hAnsi="Times New Roman" w:cs="Times New Roman"/>
                      <w:b/>
                      <w:bCs/>
                      <w:sz w:val="16"/>
                      <w:szCs w:val="16"/>
                    </w:rPr>
                  </w:pPr>
                  <w:r w:rsidRPr="004B0A7E">
                    <w:rPr>
                      <w:rFonts w:ascii="Times New Roman" w:hAnsi="Times New Roman" w:cs="Times New Roman"/>
                      <w:b/>
                      <w:bCs/>
                      <w:sz w:val="16"/>
                      <w:szCs w:val="16"/>
                    </w:rPr>
                    <w:t xml:space="preserve">Łącznie: </w:t>
                  </w:r>
                  <w:r w:rsidR="006E4869" w:rsidRPr="004B0A7E">
                    <w:rPr>
                      <w:rFonts w:ascii="Times New Roman" w:hAnsi="Times New Roman" w:cs="Times New Roman"/>
                      <w:b/>
                      <w:bCs/>
                      <w:sz w:val="16"/>
                      <w:szCs w:val="16"/>
                    </w:rPr>
                    <w:t>1.380</w:t>
                  </w:r>
                  <w:r w:rsidRPr="004B0A7E">
                    <w:rPr>
                      <w:rFonts w:ascii="Times New Roman" w:hAnsi="Times New Roman" w:cs="Times New Roman"/>
                      <w:b/>
                      <w:bCs/>
                      <w:sz w:val="16"/>
                      <w:szCs w:val="16"/>
                    </w:rPr>
                    <w:t xml:space="preserve">.000,00 wynagrodzenie zasadnicze + </w:t>
                  </w:r>
                  <w:r w:rsidR="00073150" w:rsidRPr="004B0A7E">
                    <w:rPr>
                      <w:rFonts w:ascii="Times New Roman" w:hAnsi="Times New Roman" w:cs="Times New Roman"/>
                      <w:b/>
                      <w:bCs/>
                      <w:sz w:val="16"/>
                      <w:szCs w:val="16"/>
                    </w:rPr>
                    <w:t>345</w:t>
                  </w:r>
                  <w:r w:rsidRPr="004B0A7E">
                    <w:rPr>
                      <w:rFonts w:ascii="Times New Roman" w:hAnsi="Times New Roman" w:cs="Times New Roman"/>
                      <w:b/>
                      <w:bCs/>
                      <w:sz w:val="16"/>
                      <w:szCs w:val="16"/>
                    </w:rPr>
                    <w:t>.000,00 koszty pracodawcy = 1.</w:t>
                  </w:r>
                  <w:r w:rsidR="00073150" w:rsidRPr="004B0A7E">
                    <w:rPr>
                      <w:rFonts w:ascii="Times New Roman" w:hAnsi="Times New Roman" w:cs="Times New Roman"/>
                      <w:b/>
                      <w:bCs/>
                      <w:sz w:val="16"/>
                      <w:szCs w:val="16"/>
                    </w:rPr>
                    <w:t>725</w:t>
                  </w:r>
                  <w:r w:rsidRPr="004B0A7E">
                    <w:rPr>
                      <w:rFonts w:ascii="Times New Roman" w:hAnsi="Times New Roman" w:cs="Times New Roman"/>
                      <w:b/>
                      <w:bCs/>
                      <w:sz w:val="16"/>
                      <w:szCs w:val="16"/>
                    </w:rPr>
                    <w:t>.000,00 zł.</w:t>
                  </w:r>
                </w:p>
              </w:tc>
              <w:tc>
                <w:tcPr>
                  <w:tcW w:w="1256" w:type="dxa"/>
                  <w:shd w:val="clear" w:color="auto" w:fill="D9D9D9" w:themeFill="background1" w:themeFillShade="D9"/>
                </w:tcPr>
                <w:p w14:paraId="5C14C552" w14:textId="2A0610F5" w:rsidR="0080295F" w:rsidRPr="004B0A7E" w:rsidRDefault="0080295F" w:rsidP="006F713E">
                  <w:pPr>
                    <w:jc w:val="center"/>
                    <w:rPr>
                      <w:rFonts w:ascii="Times New Roman" w:hAnsi="Times New Roman" w:cs="Times New Roman"/>
                      <w:b/>
                      <w:bCs/>
                      <w:sz w:val="16"/>
                      <w:szCs w:val="16"/>
                    </w:rPr>
                  </w:pPr>
                  <w:r w:rsidRPr="004B0A7E">
                    <w:rPr>
                      <w:rFonts w:ascii="Times New Roman" w:hAnsi="Times New Roman" w:cs="Times New Roman"/>
                      <w:b/>
                      <w:bCs/>
                      <w:sz w:val="16"/>
                      <w:szCs w:val="16"/>
                    </w:rPr>
                    <w:t xml:space="preserve">Łącznie: </w:t>
                  </w:r>
                  <w:r w:rsidR="00073150" w:rsidRPr="004B0A7E">
                    <w:rPr>
                      <w:rFonts w:ascii="Times New Roman" w:hAnsi="Times New Roman" w:cs="Times New Roman"/>
                      <w:b/>
                      <w:bCs/>
                      <w:sz w:val="16"/>
                      <w:szCs w:val="16"/>
                    </w:rPr>
                    <w:t xml:space="preserve">1.380.000,00 </w:t>
                  </w:r>
                  <w:r w:rsidRPr="004B0A7E">
                    <w:rPr>
                      <w:rFonts w:ascii="Times New Roman" w:hAnsi="Times New Roman" w:cs="Times New Roman"/>
                      <w:b/>
                      <w:bCs/>
                      <w:sz w:val="16"/>
                      <w:szCs w:val="16"/>
                    </w:rPr>
                    <w:t xml:space="preserve">wynagrodzenie zasadnicze + </w:t>
                  </w:r>
                  <w:r w:rsidR="00073150" w:rsidRPr="004B0A7E">
                    <w:rPr>
                      <w:rFonts w:ascii="Times New Roman" w:hAnsi="Times New Roman" w:cs="Times New Roman"/>
                      <w:b/>
                      <w:bCs/>
                      <w:sz w:val="16"/>
                      <w:szCs w:val="16"/>
                    </w:rPr>
                    <w:t xml:space="preserve">345.000,00 </w:t>
                  </w:r>
                  <w:r w:rsidRPr="004B0A7E">
                    <w:rPr>
                      <w:rFonts w:ascii="Times New Roman" w:hAnsi="Times New Roman" w:cs="Times New Roman"/>
                      <w:b/>
                      <w:bCs/>
                      <w:sz w:val="16"/>
                      <w:szCs w:val="16"/>
                    </w:rPr>
                    <w:t>koszty pracodawcy = 1.</w:t>
                  </w:r>
                  <w:r w:rsidR="00073150" w:rsidRPr="004B0A7E">
                    <w:rPr>
                      <w:rFonts w:ascii="Times New Roman" w:hAnsi="Times New Roman" w:cs="Times New Roman"/>
                      <w:b/>
                      <w:bCs/>
                      <w:sz w:val="16"/>
                      <w:szCs w:val="16"/>
                    </w:rPr>
                    <w:t>725</w:t>
                  </w:r>
                  <w:r w:rsidRPr="004B0A7E">
                    <w:rPr>
                      <w:rFonts w:ascii="Times New Roman" w:hAnsi="Times New Roman" w:cs="Times New Roman"/>
                      <w:b/>
                      <w:bCs/>
                      <w:sz w:val="16"/>
                      <w:szCs w:val="16"/>
                    </w:rPr>
                    <w:t>.000,00 zł.</w:t>
                  </w:r>
                </w:p>
              </w:tc>
              <w:tc>
                <w:tcPr>
                  <w:tcW w:w="1256" w:type="dxa"/>
                  <w:shd w:val="clear" w:color="auto" w:fill="D9D9D9" w:themeFill="background1" w:themeFillShade="D9"/>
                </w:tcPr>
                <w:p w14:paraId="23E2C68A" w14:textId="6372DFF6" w:rsidR="0080295F" w:rsidRPr="004B0A7E" w:rsidRDefault="0080295F" w:rsidP="006F713E">
                  <w:pPr>
                    <w:jc w:val="center"/>
                    <w:rPr>
                      <w:rFonts w:ascii="Times New Roman" w:hAnsi="Times New Roman" w:cs="Times New Roman"/>
                      <w:b/>
                      <w:bCs/>
                      <w:sz w:val="16"/>
                      <w:szCs w:val="16"/>
                    </w:rPr>
                  </w:pPr>
                  <w:r w:rsidRPr="004B0A7E">
                    <w:rPr>
                      <w:rFonts w:ascii="Times New Roman" w:hAnsi="Times New Roman" w:cs="Times New Roman"/>
                      <w:b/>
                      <w:bCs/>
                      <w:sz w:val="16"/>
                      <w:szCs w:val="16"/>
                    </w:rPr>
                    <w:t xml:space="preserve">Łącznie: </w:t>
                  </w:r>
                  <w:r w:rsidR="000D2B05" w:rsidRPr="004B0A7E">
                    <w:rPr>
                      <w:rFonts w:ascii="Times New Roman" w:hAnsi="Times New Roman" w:cs="Times New Roman"/>
                      <w:b/>
                      <w:bCs/>
                      <w:sz w:val="16"/>
                      <w:szCs w:val="16"/>
                    </w:rPr>
                    <w:t>1.764</w:t>
                  </w:r>
                  <w:r w:rsidRPr="004B0A7E">
                    <w:rPr>
                      <w:rFonts w:ascii="Times New Roman" w:hAnsi="Times New Roman" w:cs="Times New Roman"/>
                      <w:b/>
                      <w:bCs/>
                      <w:sz w:val="16"/>
                      <w:szCs w:val="16"/>
                    </w:rPr>
                    <w:t xml:space="preserve">.000,00 wynagrodzenie zasadnicze + </w:t>
                  </w:r>
                  <w:r w:rsidR="00624399" w:rsidRPr="004B0A7E">
                    <w:rPr>
                      <w:rFonts w:ascii="Times New Roman" w:hAnsi="Times New Roman" w:cs="Times New Roman"/>
                      <w:b/>
                      <w:bCs/>
                      <w:sz w:val="16"/>
                      <w:szCs w:val="16"/>
                    </w:rPr>
                    <w:t>441</w:t>
                  </w:r>
                  <w:r w:rsidRPr="004B0A7E">
                    <w:rPr>
                      <w:rFonts w:ascii="Times New Roman" w:hAnsi="Times New Roman" w:cs="Times New Roman"/>
                      <w:b/>
                      <w:bCs/>
                      <w:sz w:val="16"/>
                      <w:szCs w:val="16"/>
                    </w:rPr>
                    <w:t>.000,00 koszty pracodawcy = 2.</w:t>
                  </w:r>
                  <w:r w:rsidR="00411EDC" w:rsidRPr="004B0A7E">
                    <w:rPr>
                      <w:rFonts w:ascii="Times New Roman" w:hAnsi="Times New Roman" w:cs="Times New Roman"/>
                      <w:b/>
                      <w:bCs/>
                      <w:sz w:val="16"/>
                      <w:szCs w:val="16"/>
                    </w:rPr>
                    <w:t>205</w:t>
                  </w:r>
                  <w:r w:rsidRPr="004B0A7E">
                    <w:rPr>
                      <w:rFonts w:ascii="Times New Roman" w:hAnsi="Times New Roman" w:cs="Times New Roman"/>
                      <w:b/>
                      <w:bCs/>
                      <w:sz w:val="16"/>
                      <w:szCs w:val="16"/>
                    </w:rPr>
                    <w:t>.000,00 zł.</w:t>
                  </w:r>
                </w:p>
              </w:tc>
              <w:tc>
                <w:tcPr>
                  <w:tcW w:w="1256" w:type="dxa"/>
                  <w:shd w:val="clear" w:color="auto" w:fill="D9D9D9" w:themeFill="background1" w:themeFillShade="D9"/>
                </w:tcPr>
                <w:p w14:paraId="4DE75740" w14:textId="531B6BF1" w:rsidR="0080295F" w:rsidRPr="004B0A7E" w:rsidRDefault="0080295F" w:rsidP="006F713E">
                  <w:pPr>
                    <w:jc w:val="center"/>
                    <w:rPr>
                      <w:rFonts w:ascii="Times New Roman" w:hAnsi="Times New Roman" w:cs="Times New Roman"/>
                      <w:b/>
                      <w:bCs/>
                      <w:sz w:val="16"/>
                      <w:szCs w:val="16"/>
                    </w:rPr>
                  </w:pPr>
                  <w:r w:rsidRPr="004B0A7E">
                    <w:rPr>
                      <w:rFonts w:ascii="Times New Roman" w:hAnsi="Times New Roman" w:cs="Times New Roman"/>
                      <w:b/>
                      <w:bCs/>
                      <w:sz w:val="16"/>
                      <w:szCs w:val="16"/>
                    </w:rPr>
                    <w:t xml:space="preserve">Łącznie: </w:t>
                  </w:r>
                  <w:r w:rsidR="000D2B05" w:rsidRPr="004B0A7E">
                    <w:rPr>
                      <w:rFonts w:ascii="Times New Roman" w:hAnsi="Times New Roman" w:cs="Times New Roman"/>
                      <w:b/>
                      <w:bCs/>
                      <w:sz w:val="16"/>
                      <w:szCs w:val="16"/>
                    </w:rPr>
                    <w:t>1.764</w:t>
                  </w:r>
                  <w:r w:rsidRPr="004B0A7E">
                    <w:rPr>
                      <w:rFonts w:ascii="Times New Roman" w:hAnsi="Times New Roman" w:cs="Times New Roman"/>
                      <w:b/>
                      <w:bCs/>
                      <w:sz w:val="16"/>
                      <w:szCs w:val="16"/>
                    </w:rPr>
                    <w:t>.000,00 wynagrodzenie zasadnicze + 4</w:t>
                  </w:r>
                  <w:r w:rsidR="00624399" w:rsidRPr="004B0A7E">
                    <w:rPr>
                      <w:rFonts w:ascii="Times New Roman" w:hAnsi="Times New Roman" w:cs="Times New Roman"/>
                      <w:b/>
                      <w:bCs/>
                      <w:sz w:val="16"/>
                      <w:szCs w:val="16"/>
                    </w:rPr>
                    <w:t>41</w:t>
                  </w:r>
                  <w:r w:rsidRPr="004B0A7E">
                    <w:rPr>
                      <w:rFonts w:ascii="Times New Roman" w:hAnsi="Times New Roman" w:cs="Times New Roman"/>
                      <w:b/>
                      <w:bCs/>
                      <w:sz w:val="16"/>
                      <w:szCs w:val="16"/>
                    </w:rPr>
                    <w:t>.000,00 koszty pracodawcy = 2.</w:t>
                  </w:r>
                  <w:r w:rsidR="00411EDC" w:rsidRPr="004B0A7E">
                    <w:rPr>
                      <w:rFonts w:ascii="Times New Roman" w:hAnsi="Times New Roman" w:cs="Times New Roman"/>
                      <w:b/>
                      <w:bCs/>
                      <w:sz w:val="16"/>
                      <w:szCs w:val="16"/>
                    </w:rPr>
                    <w:t>205</w:t>
                  </w:r>
                  <w:r w:rsidRPr="004B0A7E">
                    <w:rPr>
                      <w:rFonts w:ascii="Times New Roman" w:hAnsi="Times New Roman" w:cs="Times New Roman"/>
                      <w:b/>
                      <w:bCs/>
                      <w:sz w:val="16"/>
                      <w:szCs w:val="16"/>
                    </w:rPr>
                    <w:t>.000,00 zł.</w:t>
                  </w:r>
                </w:p>
              </w:tc>
              <w:tc>
                <w:tcPr>
                  <w:tcW w:w="1256" w:type="dxa"/>
                  <w:shd w:val="clear" w:color="auto" w:fill="D9D9D9" w:themeFill="background1" w:themeFillShade="D9"/>
                </w:tcPr>
                <w:p w14:paraId="3F0B1827" w14:textId="71EB4C9D" w:rsidR="0080295F" w:rsidRPr="004B0A7E" w:rsidRDefault="0080295F" w:rsidP="006F713E">
                  <w:pPr>
                    <w:jc w:val="center"/>
                    <w:rPr>
                      <w:rFonts w:ascii="Times New Roman" w:hAnsi="Times New Roman" w:cs="Times New Roman"/>
                      <w:b/>
                      <w:bCs/>
                      <w:sz w:val="16"/>
                      <w:szCs w:val="16"/>
                    </w:rPr>
                  </w:pPr>
                  <w:r w:rsidRPr="004B0A7E">
                    <w:rPr>
                      <w:rFonts w:ascii="Times New Roman" w:hAnsi="Times New Roman" w:cs="Times New Roman"/>
                      <w:b/>
                      <w:bCs/>
                      <w:sz w:val="16"/>
                      <w:szCs w:val="16"/>
                    </w:rPr>
                    <w:t xml:space="preserve">Łącznie: </w:t>
                  </w:r>
                  <w:r w:rsidR="00E644AF" w:rsidRPr="004B0A7E">
                    <w:rPr>
                      <w:rFonts w:ascii="Times New Roman" w:hAnsi="Times New Roman" w:cs="Times New Roman"/>
                      <w:b/>
                      <w:bCs/>
                      <w:sz w:val="16"/>
                      <w:szCs w:val="16"/>
                    </w:rPr>
                    <w:t>1.764.000</w:t>
                  </w:r>
                  <w:r w:rsidRPr="004B0A7E">
                    <w:rPr>
                      <w:rFonts w:ascii="Times New Roman" w:hAnsi="Times New Roman" w:cs="Times New Roman"/>
                      <w:b/>
                      <w:bCs/>
                      <w:sz w:val="16"/>
                      <w:szCs w:val="16"/>
                    </w:rPr>
                    <w:t xml:space="preserve">,00 wynagrodzenie zasadnicze + </w:t>
                  </w:r>
                  <w:r w:rsidR="00154009" w:rsidRPr="004B0A7E">
                    <w:rPr>
                      <w:rFonts w:ascii="Times New Roman" w:hAnsi="Times New Roman" w:cs="Times New Roman"/>
                      <w:b/>
                      <w:bCs/>
                      <w:sz w:val="16"/>
                      <w:szCs w:val="16"/>
                    </w:rPr>
                    <w:t>4</w:t>
                  </w:r>
                  <w:r w:rsidR="00624399" w:rsidRPr="004B0A7E">
                    <w:rPr>
                      <w:rFonts w:ascii="Times New Roman" w:hAnsi="Times New Roman" w:cs="Times New Roman"/>
                      <w:b/>
                      <w:bCs/>
                      <w:sz w:val="16"/>
                      <w:szCs w:val="16"/>
                    </w:rPr>
                    <w:t>41</w:t>
                  </w:r>
                  <w:r w:rsidRPr="004B0A7E">
                    <w:rPr>
                      <w:rFonts w:ascii="Times New Roman" w:hAnsi="Times New Roman" w:cs="Times New Roman"/>
                      <w:b/>
                      <w:bCs/>
                      <w:sz w:val="16"/>
                      <w:szCs w:val="16"/>
                    </w:rPr>
                    <w:t>.000,00 koszty pracodawcy = 2.</w:t>
                  </w:r>
                  <w:r w:rsidR="00411EDC" w:rsidRPr="004B0A7E">
                    <w:rPr>
                      <w:rFonts w:ascii="Times New Roman" w:hAnsi="Times New Roman" w:cs="Times New Roman"/>
                      <w:b/>
                      <w:bCs/>
                      <w:sz w:val="16"/>
                      <w:szCs w:val="16"/>
                    </w:rPr>
                    <w:t>205</w:t>
                  </w:r>
                  <w:r w:rsidRPr="004B0A7E">
                    <w:rPr>
                      <w:rFonts w:ascii="Times New Roman" w:hAnsi="Times New Roman" w:cs="Times New Roman"/>
                      <w:b/>
                      <w:bCs/>
                      <w:sz w:val="16"/>
                      <w:szCs w:val="16"/>
                    </w:rPr>
                    <w:t>.000,00 zł.</w:t>
                  </w:r>
                </w:p>
              </w:tc>
              <w:tc>
                <w:tcPr>
                  <w:tcW w:w="1342" w:type="dxa"/>
                  <w:shd w:val="clear" w:color="auto" w:fill="BFBFBF" w:themeFill="background1" w:themeFillShade="BF"/>
                </w:tcPr>
                <w:p w14:paraId="27AA6B35" w14:textId="50CB8902" w:rsidR="0080295F" w:rsidRPr="004B0A7E" w:rsidRDefault="0080295F" w:rsidP="006F713E">
                  <w:pPr>
                    <w:jc w:val="center"/>
                    <w:rPr>
                      <w:rFonts w:ascii="Times New Roman" w:hAnsi="Times New Roman" w:cs="Times New Roman"/>
                      <w:b/>
                      <w:bCs/>
                      <w:sz w:val="16"/>
                      <w:szCs w:val="16"/>
                    </w:rPr>
                  </w:pPr>
                  <w:r w:rsidRPr="004B0A7E">
                    <w:rPr>
                      <w:rFonts w:ascii="Times New Roman" w:hAnsi="Times New Roman" w:cs="Times New Roman"/>
                      <w:b/>
                      <w:bCs/>
                      <w:sz w:val="16"/>
                      <w:szCs w:val="16"/>
                    </w:rPr>
                    <w:t xml:space="preserve">Łącznie: </w:t>
                  </w:r>
                  <w:r w:rsidR="00C14F0A" w:rsidRPr="004B0A7E">
                    <w:rPr>
                      <w:rFonts w:ascii="Times New Roman" w:hAnsi="Times New Roman" w:cs="Times New Roman"/>
                      <w:b/>
                      <w:bCs/>
                      <w:sz w:val="16"/>
                      <w:szCs w:val="16"/>
                    </w:rPr>
                    <w:t>8.052</w:t>
                  </w:r>
                  <w:r w:rsidRPr="004B0A7E">
                    <w:rPr>
                      <w:rFonts w:ascii="Times New Roman" w:hAnsi="Times New Roman" w:cs="Times New Roman"/>
                      <w:b/>
                      <w:bCs/>
                      <w:sz w:val="16"/>
                      <w:szCs w:val="16"/>
                    </w:rPr>
                    <w:t xml:space="preserve">.000,00 wynagrodzenie zasadnicze + </w:t>
                  </w:r>
                  <w:r w:rsidR="006A319D" w:rsidRPr="004B0A7E">
                    <w:rPr>
                      <w:rFonts w:ascii="Times New Roman" w:hAnsi="Times New Roman" w:cs="Times New Roman"/>
                      <w:b/>
                      <w:bCs/>
                      <w:sz w:val="16"/>
                      <w:szCs w:val="16"/>
                    </w:rPr>
                    <w:t>2.</w:t>
                  </w:r>
                  <w:r w:rsidR="00B5728F" w:rsidRPr="004B0A7E">
                    <w:rPr>
                      <w:rFonts w:ascii="Times New Roman" w:hAnsi="Times New Roman" w:cs="Times New Roman"/>
                      <w:b/>
                      <w:bCs/>
                      <w:sz w:val="16"/>
                      <w:szCs w:val="16"/>
                    </w:rPr>
                    <w:t>013</w:t>
                  </w:r>
                  <w:r w:rsidRPr="004B0A7E">
                    <w:rPr>
                      <w:rFonts w:ascii="Times New Roman" w:hAnsi="Times New Roman" w:cs="Times New Roman"/>
                      <w:b/>
                      <w:bCs/>
                      <w:sz w:val="16"/>
                      <w:szCs w:val="16"/>
                    </w:rPr>
                    <w:t xml:space="preserve">.000,00 koszty pracodawcy = </w:t>
                  </w:r>
                  <w:r w:rsidR="009540A9" w:rsidRPr="004B0A7E">
                    <w:rPr>
                      <w:rFonts w:ascii="Times New Roman" w:hAnsi="Times New Roman" w:cs="Times New Roman"/>
                      <w:b/>
                      <w:bCs/>
                      <w:sz w:val="16"/>
                      <w:szCs w:val="16"/>
                    </w:rPr>
                    <w:t xml:space="preserve">10 065 000,00 </w:t>
                  </w:r>
                  <w:r w:rsidRPr="004B0A7E">
                    <w:rPr>
                      <w:rFonts w:ascii="Times New Roman" w:hAnsi="Times New Roman" w:cs="Times New Roman"/>
                      <w:b/>
                      <w:bCs/>
                      <w:sz w:val="16"/>
                      <w:szCs w:val="16"/>
                    </w:rPr>
                    <w:t>zł.</w:t>
                  </w:r>
                </w:p>
              </w:tc>
            </w:tr>
          </w:tbl>
          <w:p w14:paraId="7FA3D14A" w14:textId="1A1353E1" w:rsidR="004F41EB" w:rsidRDefault="004F41EB" w:rsidP="00BD4CB1">
            <w:pPr>
              <w:jc w:val="both"/>
              <w:rPr>
                <w:rFonts w:ascii="Times New Roman" w:hAnsi="Times New Roman" w:cs="Times New Roman"/>
                <w:sz w:val="16"/>
                <w:szCs w:val="16"/>
              </w:rPr>
            </w:pPr>
          </w:p>
          <w:p w14:paraId="1D027ECD" w14:textId="73538F95" w:rsidR="000D1F42" w:rsidRPr="004D6F17" w:rsidRDefault="000D1F42" w:rsidP="00AE6B8B">
            <w:pPr>
              <w:spacing w:before="120" w:after="120"/>
              <w:jc w:val="both"/>
              <w:rPr>
                <w:rFonts w:ascii="Times New Roman" w:hAnsi="Times New Roman" w:cs="Times New Roman"/>
                <w:sz w:val="16"/>
                <w:szCs w:val="16"/>
              </w:rPr>
            </w:pPr>
            <w:r w:rsidRPr="004D6F17">
              <w:rPr>
                <w:rFonts w:ascii="Times New Roman" w:hAnsi="Times New Roman" w:cs="Times New Roman"/>
                <w:sz w:val="16"/>
                <w:szCs w:val="16"/>
              </w:rPr>
              <w:t>Zapewnienie funkcjonowania systemu wyznacza nowe zadania – nikt w chwili obecnej nie pełni funkcji związanych z utrzymaniem systemu oraz jego obsług</w:t>
            </w:r>
            <w:r w:rsidR="00A11461" w:rsidRPr="004D6F17">
              <w:rPr>
                <w:rFonts w:ascii="Times New Roman" w:hAnsi="Times New Roman" w:cs="Times New Roman"/>
                <w:sz w:val="16"/>
                <w:szCs w:val="16"/>
              </w:rPr>
              <w:t>ą</w:t>
            </w:r>
            <w:r w:rsidRPr="004D6F17">
              <w:rPr>
                <w:rFonts w:ascii="Times New Roman" w:hAnsi="Times New Roman" w:cs="Times New Roman"/>
                <w:sz w:val="16"/>
                <w:szCs w:val="16"/>
              </w:rPr>
              <w:t xml:space="preserve"> ze względu na fakt, że usługi nie są wdrożone i nie wymagają obsługi klientów korzystających z systemu.</w:t>
            </w:r>
            <w:r w:rsidR="00A66253" w:rsidRPr="004D6F17">
              <w:rPr>
                <w:rFonts w:ascii="Times New Roman" w:hAnsi="Times New Roman" w:cs="Times New Roman"/>
                <w:sz w:val="16"/>
                <w:szCs w:val="16"/>
              </w:rPr>
              <w:t xml:space="preserve"> </w:t>
            </w:r>
            <w:r w:rsidRPr="004D6F17">
              <w:rPr>
                <w:rFonts w:ascii="Times New Roman" w:hAnsi="Times New Roman" w:cs="Times New Roman"/>
                <w:sz w:val="16"/>
                <w:szCs w:val="16"/>
              </w:rPr>
              <w:t>Z załączonej tabeli nie wynika</w:t>
            </w:r>
            <w:r w:rsidR="00A66253" w:rsidRPr="004D6F17">
              <w:rPr>
                <w:rFonts w:ascii="Times New Roman" w:hAnsi="Times New Roman" w:cs="Times New Roman"/>
                <w:sz w:val="16"/>
                <w:szCs w:val="16"/>
              </w:rPr>
              <w:t xml:space="preserve"> </w:t>
            </w:r>
            <w:r w:rsidRPr="004D6F17">
              <w:rPr>
                <w:rFonts w:ascii="Times New Roman" w:hAnsi="Times New Roman" w:cs="Times New Roman"/>
                <w:sz w:val="16"/>
                <w:szCs w:val="16"/>
              </w:rPr>
              <w:t>wzrost liczby etatów</w:t>
            </w:r>
            <w:r w:rsidR="00A66253" w:rsidRPr="004D6F17">
              <w:rPr>
                <w:rFonts w:ascii="Times New Roman" w:hAnsi="Times New Roman" w:cs="Times New Roman"/>
                <w:sz w:val="16"/>
                <w:szCs w:val="16"/>
              </w:rPr>
              <w:t>, t</w:t>
            </w:r>
            <w:r w:rsidRPr="004D6F17">
              <w:rPr>
                <w:rFonts w:ascii="Times New Roman" w:hAnsi="Times New Roman" w:cs="Times New Roman"/>
                <w:sz w:val="16"/>
                <w:szCs w:val="16"/>
              </w:rPr>
              <w:t>abela wskazuje minimalny zasób ekspertów merytorycznych potrzebnych do obsługi usług i systemów Projektu. Punktem odniesienia jest wartość 0, bo tylu pracowników PAŻP może zatrudniać do utrzymania projektu ze źródeł</w:t>
            </w:r>
            <w:r w:rsidR="00AE6B8B">
              <w:rPr>
                <w:rFonts w:ascii="Times New Roman" w:hAnsi="Times New Roman" w:cs="Times New Roman"/>
                <w:sz w:val="16"/>
                <w:szCs w:val="16"/>
              </w:rPr>
              <w:t xml:space="preserve"> uwzględnionych w</w:t>
            </w:r>
            <w:r w:rsidRPr="004D6F17">
              <w:rPr>
                <w:rFonts w:ascii="Times New Roman" w:hAnsi="Times New Roman" w:cs="Times New Roman"/>
                <w:sz w:val="16"/>
                <w:szCs w:val="16"/>
              </w:rPr>
              <w:t xml:space="preserve"> </w:t>
            </w:r>
            <w:r w:rsidR="00AE6B8B">
              <w:rPr>
                <w:rFonts w:ascii="Times New Roman" w:hAnsi="Times New Roman" w:cs="Times New Roman"/>
                <w:sz w:val="16"/>
                <w:szCs w:val="16"/>
              </w:rPr>
              <w:t>PSD na RP3</w:t>
            </w:r>
            <w:r w:rsidR="008241D7" w:rsidRPr="004D6F17">
              <w:rPr>
                <w:rFonts w:ascii="Times New Roman" w:hAnsi="Times New Roman" w:cs="Times New Roman"/>
                <w:sz w:val="16"/>
                <w:szCs w:val="16"/>
              </w:rPr>
              <w:t>.</w:t>
            </w:r>
          </w:p>
          <w:p w14:paraId="03C74C2D" w14:textId="12176B56" w:rsidR="000D1F42" w:rsidRPr="004D6F17" w:rsidRDefault="000D1F42" w:rsidP="00AE6B8B">
            <w:pPr>
              <w:spacing w:before="120" w:after="120"/>
              <w:jc w:val="both"/>
              <w:rPr>
                <w:rFonts w:ascii="Times New Roman" w:hAnsi="Times New Roman" w:cs="Times New Roman"/>
                <w:sz w:val="16"/>
                <w:szCs w:val="16"/>
              </w:rPr>
            </w:pPr>
            <w:r w:rsidRPr="004D6F17">
              <w:rPr>
                <w:rFonts w:ascii="Times New Roman" w:hAnsi="Times New Roman" w:cs="Times New Roman"/>
                <w:sz w:val="16"/>
                <w:szCs w:val="16"/>
              </w:rPr>
              <w:t xml:space="preserve">Obecne zatrudnienie w PAŻP ekspertów </w:t>
            </w:r>
            <w:proofErr w:type="spellStart"/>
            <w:r w:rsidRPr="004D6F17">
              <w:rPr>
                <w:rFonts w:ascii="Times New Roman" w:hAnsi="Times New Roman" w:cs="Times New Roman"/>
                <w:sz w:val="16"/>
                <w:szCs w:val="16"/>
              </w:rPr>
              <w:t>dronowych</w:t>
            </w:r>
            <w:proofErr w:type="spellEnd"/>
            <w:r w:rsidRPr="004D6F17">
              <w:rPr>
                <w:rFonts w:ascii="Times New Roman" w:hAnsi="Times New Roman" w:cs="Times New Roman"/>
                <w:sz w:val="16"/>
                <w:szCs w:val="16"/>
              </w:rPr>
              <w:t xml:space="preserve"> dzieli się na tych realizujących zadania na rzecz służb ruchu lotniczego (finansowanie z</w:t>
            </w:r>
            <w:r w:rsidR="004F70AC" w:rsidRPr="004D6F17">
              <w:rPr>
                <w:rFonts w:ascii="Times New Roman" w:hAnsi="Times New Roman" w:cs="Times New Roman"/>
                <w:sz w:val="16"/>
                <w:szCs w:val="16"/>
              </w:rPr>
              <w:t xml:space="preserve"> PSD </w:t>
            </w:r>
            <w:r w:rsidR="00AE6B8B">
              <w:rPr>
                <w:rFonts w:ascii="Times New Roman" w:hAnsi="Times New Roman" w:cs="Times New Roman"/>
                <w:sz w:val="16"/>
                <w:szCs w:val="16"/>
              </w:rPr>
              <w:t xml:space="preserve">na </w:t>
            </w:r>
            <w:r w:rsidR="004F70AC" w:rsidRPr="004D6F17">
              <w:rPr>
                <w:rFonts w:ascii="Times New Roman" w:hAnsi="Times New Roman" w:cs="Times New Roman"/>
                <w:sz w:val="16"/>
                <w:szCs w:val="16"/>
              </w:rPr>
              <w:t>RP3</w:t>
            </w:r>
            <w:r w:rsidRPr="004D6F17">
              <w:rPr>
                <w:rFonts w:ascii="Times New Roman" w:hAnsi="Times New Roman" w:cs="Times New Roman"/>
                <w:sz w:val="16"/>
                <w:szCs w:val="16"/>
              </w:rPr>
              <w:t xml:space="preserve">) oraz na tych, którzy zostali zatrudnieni do realizacji projektu </w:t>
            </w:r>
            <w:r w:rsidR="004F70AC" w:rsidRPr="004D6F17">
              <w:rPr>
                <w:rFonts w:ascii="Times New Roman" w:hAnsi="Times New Roman" w:cs="Times New Roman"/>
                <w:sz w:val="16"/>
                <w:szCs w:val="16"/>
              </w:rPr>
              <w:t>„Usługi cyfrowe dla BSP</w:t>
            </w:r>
            <w:r w:rsidR="007D163C">
              <w:rPr>
                <w:rFonts w:ascii="Times New Roman" w:hAnsi="Times New Roman" w:cs="Times New Roman"/>
                <w:sz w:val="16"/>
                <w:szCs w:val="16"/>
              </w:rPr>
              <w:t>”</w:t>
            </w:r>
            <w:r w:rsidR="005B3B15" w:rsidRPr="004D6F17">
              <w:rPr>
                <w:rFonts w:ascii="Times New Roman" w:hAnsi="Times New Roman" w:cs="Times New Roman"/>
                <w:sz w:val="16"/>
                <w:szCs w:val="16"/>
              </w:rPr>
              <w:t>, a</w:t>
            </w:r>
            <w:r w:rsidRPr="004D6F17">
              <w:rPr>
                <w:rFonts w:ascii="Times New Roman" w:hAnsi="Times New Roman" w:cs="Times New Roman"/>
                <w:sz w:val="16"/>
                <w:szCs w:val="16"/>
              </w:rPr>
              <w:t xml:space="preserve"> którzy są finansowani ze źródeł zewnętrznych (POPC). Po zakończeniu wytwarzania i wdrażania systemów oraz usług w ramach realizowanego projektu</w:t>
            </w:r>
            <w:r w:rsidR="001C063C" w:rsidRPr="004D6F17">
              <w:rPr>
                <w:rFonts w:ascii="Times New Roman" w:hAnsi="Times New Roman" w:cs="Times New Roman"/>
                <w:sz w:val="16"/>
                <w:szCs w:val="16"/>
              </w:rPr>
              <w:t xml:space="preserve"> </w:t>
            </w:r>
            <w:r w:rsidR="00F127E6" w:rsidRPr="004D6F17">
              <w:rPr>
                <w:rFonts w:ascii="Times New Roman" w:hAnsi="Times New Roman" w:cs="Times New Roman"/>
                <w:sz w:val="16"/>
                <w:szCs w:val="16"/>
              </w:rPr>
              <w:t xml:space="preserve">niezbędne jest sfinansowanie </w:t>
            </w:r>
            <w:r w:rsidR="003F5397" w:rsidRPr="004D6F17">
              <w:rPr>
                <w:rFonts w:ascii="Times New Roman" w:hAnsi="Times New Roman" w:cs="Times New Roman"/>
                <w:sz w:val="16"/>
                <w:szCs w:val="16"/>
              </w:rPr>
              <w:t xml:space="preserve">z innych środków niż środki PSD </w:t>
            </w:r>
            <w:r w:rsidR="00AE6B8B">
              <w:rPr>
                <w:rFonts w:ascii="Times New Roman" w:hAnsi="Times New Roman" w:cs="Times New Roman"/>
                <w:sz w:val="16"/>
                <w:szCs w:val="16"/>
              </w:rPr>
              <w:t xml:space="preserve">na </w:t>
            </w:r>
            <w:r w:rsidR="003F5397" w:rsidRPr="004D6F17">
              <w:rPr>
                <w:rFonts w:ascii="Times New Roman" w:hAnsi="Times New Roman" w:cs="Times New Roman"/>
                <w:sz w:val="16"/>
                <w:szCs w:val="16"/>
              </w:rPr>
              <w:t xml:space="preserve">RP3 </w:t>
            </w:r>
            <w:r w:rsidR="00F127E6" w:rsidRPr="004D6F17">
              <w:rPr>
                <w:rFonts w:ascii="Times New Roman" w:hAnsi="Times New Roman" w:cs="Times New Roman"/>
                <w:sz w:val="16"/>
                <w:szCs w:val="16"/>
              </w:rPr>
              <w:t>realizacji prac</w:t>
            </w:r>
            <w:r w:rsidR="003F5397" w:rsidRPr="004D6F17">
              <w:rPr>
                <w:rFonts w:ascii="Times New Roman" w:hAnsi="Times New Roman" w:cs="Times New Roman"/>
                <w:sz w:val="16"/>
                <w:szCs w:val="16"/>
              </w:rPr>
              <w:t xml:space="preserve"> </w:t>
            </w:r>
            <w:r w:rsidR="001C063C" w:rsidRPr="004D6F17">
              <w:rPr>
                <w:rFonts w:ascii="Times New Roman" w:hAnsi="Times New Roman" w:cs="Times New Roman"/>
                <w:sz w:val="16"/>
                <w:szCs w:val="16"/>
              </w:rPr>
              <w:t>częś</w:t>
            </w:r>
            <w:r w:rsidR="006F3E12" w:rsidRPr="004D6F17">
              <w:rPr>
                <w:rFonts w:ascii="Times New Roman" w:hAnsi="Times New Roman" w:cs="Times New Roman"/>
                <w:sz w:val="16"/>
                <w:szCs w:val="16"/>
              </w:rPr>
              <w:t>ci</w:t>
            </w:r>
            <w:r w:rsidR="001C063C" w:rsidRPr="004D6F17">
              <w:rPr>
                <w:rFonts w:ascii="Times New Roman" w:hAnsi="Times New Roman" w:cs="Times New Roman"/>
                <w:sz w:val="16"/>
                <w:szCs w:val="16"/>
              </w:rPr>
              <w:t xml:space="preserve"> </w:t>
            </w:r>
            <w:r w:rsidRPr="004D6F17">
              <w:rPr>
                <w:rFonts w:ascii="Times New Roman" w:hAnsi="Times New Roman" w:cs="Times New Roman"/>
                <w:sz w:val="16"/>
                <w:szCs w:val="16"/>
              </w:rPr>
              <w:t>kompetentnych ekspertów</w:t>
            </w:r>
            <w:r w:rsidR="003F5397" w:rsidRPr="004D6F17">
              <w:rPr>
                <w:rFonts w:ascii="Times New Roman" w:hAnsi="Times New Roman" w:cs="Times New Roman"/>
                <w:sz w:val="16"/>
                <w:szCs w:val="16"/>
              </w:rPr>
              <w:t>.</w:t>
            </w:r>
            <w:r w:rsidR="000E21EB" w:rsidRPr="004D6F17">
              <w:rPr>
                <w:rFonts w:ascii="Times New Roman" w:hAnsi="Times New Roman" w:cs="Times New Roman"/>
                <w:sz w:val="16"/>
                <w:szCs w:val="16"/>
              </w:rPr>
              <w:t xml:space="preserve"> </w:t>
            </w:r>
            <w:r w:rsidRPr="004D6F17">
              <w:rPr>
                <w:rFonts w:ascii="Times New Roman" w:hAnsi="Times New Roman" w:cs="Times New Roman"/>
                <w:sz w:val="16"/>
                <w:szCs w:val="16"/>
              </w:rPr>
              <w:t xml:space="preserve">Nie </w:t>
            </w:r>
            <w:r w:rsidR="000E21EB" w:rsidRPr="004D6F17">
              <w:rPr>
                <w:rFonts w:ascii="Times New Roman" w:hAnsi="Times New Roman" w:cs="Times New Roman"/>
                <w:sz w:val="16"/>
                <w:szCs w:val="16"/>
              </w:rPr>
              <w:t>ma możliwości</w:t>
            </w:r>
            <w:r w:rsidRPr="004D6F17">
              <w:rPr>
                <w:rFonts w:ascii="Times New Roman" w:hAnsi="Times New Roman" w:cs="Times New Roman"/>
                <w:sz w:val="16"/>
                <w:szCs w:val="16"/>
              </w:rPr>
              <w:t xml:space="preserve"> finansowan</w:t>
            </w:r>
            <w:r w:rsidR="000E21EB" w:rsidRPr="004D6F17">
              <w:rPr>
                <w:rFonts w:ascii="Times New Roman" w:hAnsi="Times New Roman" w:cs="Times New Roman"/>
                <w:sz w:val="16"/>
                <w:szCs w:val="16"/>
              </w:rPr>
              <w:t>ia</w:t>
            </w:r>
            <w:r w:rsidRPr="004D6F17">
              <w:rPr>
                <w:rFonts w:ascii="Times New Roman" w:hAnsi="Times New Roman" w:cs="Times New Roman"/>
                <w:sz w:val="16"/>
                <w:szCs w:val="16"/>
              </w:rPr>
              <w:t xml:space="preserve"> </w:t>
            </w:r>
            <w:r w:rsidR="000E21EB" w:rsidRPr="004D6F17">
              <w:rPr>
                <w:rFonts w:ascii="Times New Roman" w:hAnsi="Times New Roman" w:cs="Times New Roman"/>
                <w:sz w:val="16"/>
                <w:szCs w:val="16"/>
              </w:rPr>
              <w:t xml:space="preserve">ww. zakresu </w:t>
            </w:r>
            <w:r w:rsidRPr="004D6F17">
              <w:rPr>
                <w:rFonts w:ascii="Times New Roman" w:hAnsi="Times New Roman" w:cs="Times New Roman"/>
                <w:sz w:val="16"/>
                <w:szCs w:val="16"/>
              </w:rPr>
              <w:t xml:space="preserve">ze środków </w:t>
            </w:r>
            <w:r w:rsidR="000E21EB" w:rsidRPr="004D6F17">
              <w:rPr>
                <w:rFonts w:ascii="Times New Roman" w:hAnsi="Times New Roman" w:cs="Times New Roman"/>
                <w:sz w:val="16"/>
                <w:szCs w:val="16"/>
              </w:rPr>
              <w:t xml:space="preserve">PSD </w:t>
            </w:r>
            <w:r w:rsidR="00AE6B8B">
              <w:rPr>
                <w:rFonts w:ascii="Times New Roman" w:hAnsi="Times New Roman" w:cs="Times New Roman"/>
                <w:sz w:val="16"/>
                <w:szCs w:val="16"/>
              </w:rPr>
              <w:t xml:space="preserve">na </w:t>
            </w:r>
            <w:r w:rsidRPr="004D6F17">
              <w:rPr>
                <w:rFonts w:ascii="Times New Roman" w:hAnsi="Times New Roman" w:cs="Times New Roman"/>
                <w:sz w:val="16"/>
                <w:szCs w:val="16"/>
              </w:rPr>
              <w:t xml:space="preserve">RP3, ponieważ utrzymywanie i obsługa usług nie wpisuje się w zadania, które mogą być finansowane przez przewoźników </w:t>
            </w:r>
            <w:r w:rsidR="00AE6B8B">
              <w:rPr>
                <w:rFonts w:ascii="Times New Roman" w:hAnsi="Times New Roman" w:cs="Times New Roman"/>
                <w:sz w:val="16"/>
                <w:szCs w:val="16"/>
              </w:rPr>
              <w:t>lotniczych w ramach opłat nawigacyjnych</w:t>
            </w:r>
            <w:r w:rsidRPr="004D6F17">
              <w:rPr>
                <w:rFonts w:ascii="Times New Roman" w:hAnsi="Times New Roman" w:cs="Times New Roman"/>
                <w:sz w:val="16"/>
                <w:szCs w:val="16"/>
              </w:rPr>
              <w:t>.</w:t>
            </w:r>
          </w:p>
          <w:p w14:paraId="0FC21BB0" w14:textId="504C75CE" w:rsidR="000D1F42" w:rsidRPr="002E7520" w:rsidRDefault="000D1F42" w:rsidP="00AE6B8B">
            <w:pPr>
              <w:spacing w:before="120" w:after="120"/>
              <w:jc w:val="both"/>
              <w:rPr>
                <w:rFonts w:ascii="Times New Roman" w:hAnsi="Times New Roman" w:cs="Times New Roman"/>
                <w:sz w:val="16"/>
                <w:szCs w:val="16"/>
              </w:rPr>
            </w:pPr>
            <w:r w:rsidRPr="002E7520">
              <w:rPr>
                <w:rFonts w:ascii="Times New Roman" w:hAnsi="Times New Roman" w:cs="Times New Roman"/>
                <w:sz w:val="16"/>
                <w:szCs w:val="16"/>
              </w:rPr>
              <w:t xml:space="preserve">Tabela </w:t>
            </w:r>
            <w:r w:rsidR="005519A2" w:rsidRPr="002E7520">
              <w:rPr>
                <w:rFonts w:ascii="Times New Roman" w:hAnsi="Times New Roman" w:cs="Times New Roman"/>
                <w:sz w:val="16"/>
                <w:szCs w:val="16"/>
              </w:rPr>
              <w:t>przedstawia r</w:t>
            </w:r>
            <w:r w:rsidRPr="002E7520">
              <w:rPr>
                <w:rFonts w:ascii="Times New Roman" w:hAnsi="Times New Roman" w:cs="Times New Roman"/>
                <w:sz w:val="16"/>
                <w:szCs w:val="16"/>
              </w:rPr>
              <w:t xml:space="preserve">edukcję </w:t>
            </w:r>
            <w:r w:rsidR="005519A2" w:rsidRPr="002E7520">
              <w:rPr>
                <w:rFonts w:ascii="Times New Roman" w:hAnsi="Times New Roman" w:cs="Times New Roman"/>
                <w:sz w:val="16"/>
                <w:szCs w:val="16"/>
              </w:rPr>
              <w:t xml:space="preserve">poziomu zatrudnienia wobec poziomu zatrudnienia na etapie wdrażania usług </w:t>
            </w:r>
            <w:r w:rsidRPr="002E7520">
              <w:rPr>
                <w:rFonts w:ascii="Times New Roman" w:hAnsi="Times New Roman" w:cs="Times New Roman"/>
                <w:sz w:val="16"/>
                <w:szCs w:val="16"/>
              </w:rPr>
              <w:t>do realnych potrzeb związanych z utrzymaniem usług i obsługa systemów.</w:t>
            </w:r>
          </w:p>
          <w:p w14:paraId="4F9B6EDD" w14:textId="275C880B" w:rsidR="00563EF5" w:rsidRPr="002E7520" w:rsidRDefault="000D1F42" w:rsidP="00AE6B8B">
            <w:pPr>
              <w:spacing w:before="120" w:after="120"/>
              <w:jc w:val="both"/>
              <w:rPr>
                <w:rFonts w:ascii="Times New Roman" w:hAnsi="Times New Roman" w:cs="Times New Roman"/>
                <w:sz w:val="16"/>
                <w:szCs w:val="16"/>
              </w:rPr>
            </w:pPr>
            <w:r w:rsidRPr="002E7520">
              <w:rPr>
                <w:rFonts w:ascii="Times New Roman" w:hAnsi="Times New Roman" w:cs="Times New Roman"/>
                <w:sz w:val="16"/>
                <w:szCs w:val="16"/>
              </w:rPr>
              <w:t xml:space="preserve">Spośród </w:t>
            </w:r>
            <w:r w:rsidR="007D163C">
              <w:rPr>
                <w:rFonts w:ascii="Times New Roman" w:hAnsi="Times New Roman" w:cs="Times New Roman"/>
                <w:sz w:val="16"/>
                <w:szCs w:val="16"/>
              </w:rPr>
              <w:t xml:space="preserve">ponad </w:t>
            </w:r>
            <w:r w:rsidRPr="002E7520">
              <w:rPr>
                <w:rFonts w:ascii="Times New Roman" w:hAnsi="Times New Roman" w:cs="Times New Roman"/>
                <w:sz w:val="16"/>
                <w:szCs w:val="16"/>
              </w:rPr>
              <w:t>20 osób merytorycznych pracujących</w:t>
            </w:r>
            <w:r w:rsidR="009B3F68" w:rsidRPr="002E7520">
              <w:rPr>
                <w:rFonts w:ascii="Times New Roman" w:hAnsi="Times New Roman" w:cs="Times New Roman"/>
                <w:sz w:val="16"/>
                <w:szCs w:val="16"/>
              </w:rPr>
              <w:t xml:space="preserve"> obecnie</w:t>
            </w:r>
            <w:r w:rsidRPr="002E7520">
              <w:rPr>
                <w:rFonts w:ascii="Times New Roman" w:hAnsi="Times New Roman" w:cs="Times New Roman"/>
                <w:sz w:val="16"/>
                <w:szCs w:val="16"/>
              </w:rPr>
              <w:t xml:space="preserve"> przy </w:t>
            </w:r>
            <w:r w:rsidR="009B3F68" w:rsidRPr="002E7520">
              <w:rPr>
                <w:rFonts w:ascii="Times New Roman" w:hAnsi="Times New Roman" w:cs="Times New Roman"/>
                <w:sz w:val="16"/>
                <w:szCs w:val="16"/>
              </w:rPr>
              <w:t xml:space="preserve">wdrażaniu </w:t>
            </w:r>
            <w:r w:rsidRPr="002E7520">
              <w:rPr>
                <w:rFonts w:ascii="Times New Roman" w:hAnsi="Times New Roman" w:cs="Times New Roman"/>
                <w:sz w:val="16"/>
                <w:szCs w:val="16"/>
              </w:rPr>
              <w:t>projek</w:t>
            </w:r>
            <w:r w:rsidR="009B3F68" w:rsidRPr="002E7520">
              <w:rPr>
                <w:rFonts w:ascii="Times New Roman" w:hAnsi="Times New Roman" w:cs="Times New Roman"/>
                <w:sz w:val="16"/>
                <w:szCs w:val="16"/>
              </w:rPr>
              <w:t xml:space="preserve">tu „Usługi cyfrowe dla </w:t>
            </w:r>
            <w:r w:rsidR="00AE6B8B">
              <w:rPr>
                <w:rFonts w:ascii="Times New Roman" w:hAnsi="Times New Roman" w:cs="Times New Roman"/>
                <w:sz w:val="16"/>
                <w:szCs w:val="16"/>
              </w:rPr>
              <w:t>bezzałogowych statków powietrznych</w:t>
            </w:r>
            <w:r w:rsidR="009B3F68" w:rsidRPr="002E7520">
              <w:rPr>
                <w:rFonts w:ascii="Times New Roman" w:hAnsi="Times New Roman" w:cs="Times New Roman"/>
                <w:sz w:val="16"/>
                <w:szCs w:val="16"/>
              </w:rPr>
              <w:t>”</w:t>
            </w:r>
            <w:r w:rsidR="00563EF5" w:rsidRPr="002E7520">
              <w:rPr>
                <w:rFonts w:ascii="Times New Roman" w:hAnsi="Times New Roman" w:cs="Times New Roman"/>
                <w:sz w:val="16"/>
                <w:szCs w:val="16"/>
              </w:rPr>
              <w:t>,</w:t>
            </w:r>
            <w:r w:rsidRPr="002E7520">
              <w:rPr>
                <w:rFonts w:ascii="Times New Roman" w:hAnsi="Times New Roman" w:cs="Times New Roman"/>
                <w:sz w:val="16"/>
                <w:szCs w:val="16"/>
              </w:rPr>
              <w:t xml:space="preserve"> przyjęto założenie, że:</w:t>
            </w:r>
          </w:p>
          <w:p w14:paraId="58EB3C7F" w14:textId="34FBB1D4" w:rsidR="00563EF5" w:rsidRPr="002E7520" w:rsidRDefault="002E7520" w:rsidP="00AE6B8B">
            <w:pPr>
              <w:pStyle w:val="Akapitzlist"/>
              <w:numPr>
                <w:ilvl w:val="0"/>
                <w:numId w:val="13"/>
              </w:numPr>
              <w:spacing w:before="120" w:after="120"/>
              <w:ind w:left="311" w:hanging="283"/>
              <w:jc w:val="both"/>
              <w:rPr>
                <w:rFonts w:ascii="Times New Roman" w:hAnsi="Times New Roman" w:cs="Times New Roman"/>
                <w:sz w:val="16"/>
                <w:szCs w:val="16"/>
              </w:rPr>
            </w:pPr>
            <w:r w:rsidRPr="002E7520">
              <w:rPr>
                <w:rFonts w:ascii="Times New Roman" w:hAnsi="Times New Roman" w:cs="Times New Roman"/>
                <w:sz w:val="16"/>
                <w:szCs w:val="16"/>
              </w:rPr>
              <w:t>3</w:t>
            </w:r>
            <w:r w:rsidR="000D1F42" w:rsidRPr="002E7520">
              <w:rPr>
                <w:rFonts w:ascii="Times New Roman" w:hAnsi="Times New Roman" w:cs="Times New Roman"/>
                <w:sz w:val="16"/>
                <w:szCs w:val="16"/>
              </w:rPr>
              <w:t xml:space="preserve"> etaty miesięcznie będą niezbędne do realizacji zadań merytorycznych dotyczących utrzymania 6 usług wdrażanych w projekcie.</w:t>
            </w:r>
          </w:p>
          <w:p w14:paraId="6AD34E3B" w14:textId="5705EB76" w:rsidR="000D1F42" w:rsidRPr="002E7520" w:rsidRDefault="000D1F42" w:rsidP="00AE6B8B">
            <w:pPr>
              <w:pStyle w:val="Akapitzlist"/>
              <w:numPr>
                <w:ilvl w:val="0"/>
                <w:numId w:val="13"/>
              </w:numPr>
              <w:spacing w:before="120" w:after="120"/>
              <w:ind w:left="311" w:hanging="283"/>
              <w:jc w:val="both"/>
              <w:rPr>
                <w:rFonts w:ascii="Times New Roman" w:hAnsi="Times New Roman" w:cs="Times New Roman"/>
                <w:sz w:val="16"/>
                <w:szCs w:val="16"/>
              </w:rPr>
            </w:pPr>
            <w:r w:rsidRPr="002E7520">
              <w:rPr>
                <w:rFonts w:ascii="Times New Roman" w:hAnsi="Times New Roman" w:cs="Times New Roman"/>
                <w:sz w:val="16"/>
                <w:szCs w:val="16"/>
              </w:rPr>
              <w:t xml:space="preserve">4 </w:t>
            </w:r>
            <w:r w:rsidR="007D163C">
              <w:rPr>
                <w:rFonts w:ascii="Times New Roman" w:hAnsi="Times New Roman" w:cs="Times New Roman"/>
                <w:sz w:val="16"/>
                <w:szCs w:val="16"/>
              </w:rPr>
              <w:t>etaty</w:t>
            </w:r>
            <w:r w:rsidR="007D163C" w:rsidRPr="002E7520">
              <w:rPr>
                <w:rFonts w:ascii="Times New Roman" w:hAnsi="Times New Roman" w:cs="Times New Roman"/>
                <w:sz w:val="16"/>
                <w:szCs w:val="16"/>
              </w:rPr>
              <w:t xml:space="preserve"> </w:t>
            </w:r>
            <w:r w:rsidRPr="002E7520">
              <w:rPr>
                <w:rFonts w:ascii="Times New Roman" w:hAnsi="Times New Roman" w:cs="Times New Roman"/>
                <w:sz w:val="16"/>
                <w:szCs w:val="16"/>
              </w:rPr>
              <w:t xml:space="preserve">do obsługi bieżącej systemu </w:t>
            </w:r>
            <w:r w:rsidR="007D163C">
              <w:rPr>
                <w:rFonts w:ascii="Times New Roman" w:hAnsi="Times New Roman" w:cs="Times New Roman"/>
                <w:sz w:val="16"/>
                <w:szCs w:val="16"/>
              </w:rPr>
              <w:t xml:space="preserve">w zakresie manualnego procedowania planów misji dotyczących lotów w obszarach objętych działaniem usługi „Zaawansowane loty BSP na szeroką skalę” oraz taktycznego monitoringu w nich sytuacji operacyjnej i reagowania na nieprawidłowości z trajektorią lotów dronów,  </w:t>
            </w:r>
            <w:r w:rsidRPr="002E7520">
              <w:rPr>
                <w:rFonts w:ascii="Times New Roman" w:hAnsi="Times New Roman" w:cs="Times New Roman"/>
                <w:sz w:val="16"/>
                <w:szCs w:val="16"/>
              </w:rPr>
              <w:t>są wariantem minimalnym zapewniającym ci</w:t>
            </w:r>
            <w:r w:rsidR="00AE6B8B">
              <w:rPr>
                <w:rFonts w:ascii="Times New Roman" w:hAnsi="Times New Roman" w:cs="Times New Roman"/>
                <w:sz w:val="16"/>
                <w:szCs w:val="16"/>
              </w:rPr>
              <w:t>ągłość obsługi.</w:t>
            </w:r>
          </w:p>
          <w:p w14:paraId="407A0F09" w14:textId="385B0F9B" w:rsidR="000D1F42" w:rsidRPr="00587531" w:rsidRDefault="000D1F42" w:rsidP="00AE6B8B">
            <w:pPr>
              <w:spacing w:before="120" w:after="120"/>
              <w:jc w:val="both"/>
              <w:rPr>
                <w:rFonts w:ascii="Times New Roman" w:hAnsi="Times New Roman" w:cs="Times New Roman"/>
                <w:sz w:val="16"/>
                <w:szCs w:val="16"/>
              </w:rPr>
            </w:pPr>
            <w:r w:rsidRPr="00587531">
              <w:rPr>
                <w:rFonts w:ascii="Times New Roman" w:hAnsi="Times New Roman" w:cs="Times New Roman"/>
                <w:sz w:val="16"/>
                <w:szCs w:val="16"/>
              </w:rPr>
              <w:t>Dziś usługa „Zaawansowane loty BSP na szeroką skalę</w:t>
            </w:r>
            <w:r w:rsidR="00AE6B8B">
              <w:rPr>
                <w:rFonts w:ascii="Times New Roman" w:hAnsi="Times New Roman" w:cs="Times New Roman"/>
                <w:sz w:val="16"/>
                <w:szCs w:val="16"/>
              </w:rPr>
              <w:t>”</w:t>
            </w:r>
            <w:r w:rsidRPr="00587531">
              <w:rPr>
                <w:rFonts w:ascii="Times New Roman" w:hAnsi="Times New Roman" w:cs="Times New Roman"/>
                <w:sz w:val="16"/>
                <w:szCs w:val="16"/>
              </w:rPr>
              <w:t xml:space="preserve"> nie </w:t>
            </w:r>
            <w:r w:rsidR="00877436" w:rsidRPr="00587531">
              <w:rPr>
                <w:rFonts w:ascii="Times New Roman" w:hAnsi="Times New Roman" w:cs="Times New Roman"/>
                <w:sz w:val="16"/>
                <w:szCs w:val="16"/>
              </w:rPr>
              <w:t xml:space="preserve">została </w:t>
            </w:r>
            <w:r w:rsidRPr="00587531">
              <w:rPr>
                <w:rFonts w:ascii="Times New Roman" w:hAnsi="Times New Roman" w:cs="Times New Roman"/>
                <w:sz w:val="16"/>
                <w:szCs w:val="16"/>
              </w:rPr>
              <w:t>jeszcze wdrożona</w:t>
            </w:r>
            <w:r w:rsidR="00AE6B8B">
              <w:rPr>
                <w:rFonts w:ascii="Times New Roman" w:hAnsi="Times New Roman" w:cs="Times New Roman"/>
                <w:sz w:val="16"/>
                <w:szCs w:val="16"/>
              </w:rPr>
              <w:t>,</w:t>
            </w:r>
            <w:r w:rsidRPr="00587531">
              <w:rPr>
                <w:rFonts w:ascii="Times New Roman" w:hAnsi="Times New Roman" w:cs="Times New Roman"/>
                <w:sz w:val="16"/>
                <w:szCs w:val="16"/>
              </w:rPr>
              <w:t xml:space="preserve"> a tym samym nie istnieje potrzeba obsługi użytkowników systemu </w:t>
            </w:r>
            <w:r w:rsidR="00877436" w:rsidRPr="00587531">
              <w:rPr>
                <w:rFonts w:ascii="Times New Roman" w:hAnsi="Times New Roman" w:cs="Times New Roman"/>
                <w:sz w:val="16"/>
                <w:szCs w:val="16"/>
              </w:rPr>
              <w:t>(</w:t>
            </w:r>
            <w:r w:rsidRPr="00587531">
              <w:rPr>
                <w:rFonts w:ascii="Times New Roman" w:hAnsi="Times New Roman" w:cs="Times New Roman"/>
                <w:sz w:val="16"/>
                <w:szCs w:val="16"/>
              </w:rPr>
              <w:t>z tego powodu nie ma obecnie osób zatrudnionych do realizacji tego zadania</w:t>
            </w:r>
            <w:r w:rsidR="00877436" w:rsidRPr="00587531">
              <w:rPr>
                <w:rFonts w:ascii="Times New Roman" w:hAnsi="Times New Roman" w:cs="Times New Roman"/>
                <w:sz w:val="16"/>
                <w:szCs w:val="16"/>
              </w:rPr>
              <w:t>)</w:t>
            </w:r>
            <w:r w:rsidRPr="00587531">
              <w:rPr>
                <w:rFonts w:ascii="Times New Roman" w:hAnsi="Times New Roman" w:cs="Times New Roman"/>
                <w:sz w:val="16"/>
                <w:szCs w:val="16"/>
              </w:rPr>
              <w:t xml:space="preserve">. </w:t>
            </w:r>
            <w:r w:rsidR="00877436" w:rsidRPr="00587531">
              <w:rPr>
                <w:rFonts w:ascii="Times New Roman" w:hAnsi="Times New Roman" w:cs="Times New Roman"/>
                <w:sz w:val="16"/>
                <w:szCs w:val="16"/>
              </w:rPr>
              <w:t xml:space="preserve"> </w:t>
            </w:r>
            <w:r w:rsidRPr="00587531">
              <w:rPr>
                <w:rFonts w:ascii="Times New Roman" w:hAnsi="Times New Roman" w:cs="Times New Roman"/>
                <w:sz w:val="16"/>
                <w:szCs w:val="16"/>
              </w:rPr>
              <w:t>Usługa będzie wdrożona w trzech lokalizacjach, wyłonionych w przeprowadzonym przez PAŻP konkurs</w:t>
            </w:r>
            <w:r w:rsidR="00AE6B8B">
              <w:rPr>
                <w:rFonts w:ascii="Times New Roman" w:hAnsi="Times New Roman" w:cs="Times New Roman"/>
                <w:sz w:val="16"/>
                <w:szCs w:val="16"/>
              </w:rPr>
              <w:t xml:space="preserve">ie. W tych trzech lokalizacjach </w:t>
            </w:r>
            <w:r w:rsidRPr="00587531">
              <w:rPr>
                <w:rFonts w:ascii="Times New Roman" w:hAnsi="Times New Roman" w:cs="Times New Roman"/>
                <w:sz w:val="16"/>
                <w:szCs w:val="16"/>
              </w:rPr>
              <w:t>dzięki wdrożeniu usługi będzie możliwa realizacja zaawansowanych lotów BSP jedynie z kilkuminutowym wyprzedzeniem od pojawienia się potrzeby. System będzie pozwalał na równoczesne planowanie i realizację wielu lotów w tym samym obszarze</w:t>
            </w:r>
            <w:r w:rsidR="00AE6B8B">
              <w:rPr>
                <w:rFonts w:ascii="Times New Roman" w:hAnsi="Times New Roman" w:cs="Times New Roman"/>
                <w:sz w:val="16"/>
                <w:szCs w:val="16"/>
              </w:rPr>
              <w:t>,</w:t>
            </w:r>
            <w:r w:rsidRPr="00587531">
              <w:rPr>
                <w:rFonts w:ascii="Times New Roman" w:hAnsi="Times New Roman" w:cs="Times New Roman"/>
                <w:sz w:val="16"/>
                <w:szCs w:val="16"/>
              </w:rPr>
              <w:t xml:space="preserve"> o ile </w:t>
            </w:r>
            <w:r w:rsidR="00AE6B8B" w:rsidRPr="00587531">
              <w:rPr>
                <w:rFonts w:ascii="Times New Roman" w:hAnsi="Times New Roman" w:cs="Times New Roman"/>
                <w:sz w:val="16"/>
                <w:szCs w:val="16"/>
              </w:rPr>
              <w:t>pomiędzy BSP będą zachowywane</w:t>
            </w:r>
            <w:r w:rsidR="00AE6B8B" w:rsidRPr="00587531">
              <w:rPr>
                <w:rFonts w:ascii="Times New Roman" w:hAnsi="Times New Roman" w:cs="Times New Roman"/>
                <w:sz w:val="16"/>
                <w:szCs w:val="16"/>
              </w:rPr>
              <w:t xml:space="preserve"> </w:t>
            </w:r>
            <w:r w:rsidRPr="00587531">
              <w:rPr>
                <w:rFonts w:ascii="Times New Roman" w:hAnsi="Times New Roman" w:cs="Times New Roman"/>
                <w:sz w:val="16"/>
                <w:szCs w:val="16"/>
              </w:rPr>
              <w:t>bezpieczne odległości</w:t>
            </w:r>
            <w:r w:rsidR="005F62A8" w:rsidRPr="00587531">
              <w:rPr>
                <w:rFonts w:ascii="Times New Roman" w:hAnsi="Times New Roman" w:cs="Times New Roman"/>
                <w:sz w:val="16"/>
                <w:szCs w:val="16"/>
              </w:rPr>
              <w:t>.</w:t>
            </w:r>
          </w:p>
          <w:p w14:paraId="7D28CC51" w14:textId="3F95E4E5" w:rsidR="0087765F" w:rsidRPr="00587531" w:rsidRDefault="000D1F42" w:rsidP="00AE6B8B">
            <w:pPr>
              <w:spacing w:before="120" w:after="120"/>
              <w:jc w:val="both"/>
              <w:rPr>
                <w:rFonts w:ascii="Times New Roman" w:hAnsi="Times New Roman" w:cs="Times New Roman"/>
                <w:sz w:val="16"/>
                <w:szCs w:val="16"/>
              </w:rPr>
            </w:pPr>
            <w:r w:rsidRPr="00587531">
              <w:rPr>
                <w:rFonts w:ascii="Times New Roman" w:hAnsi="Times New Roman" w:cs="Times New Roman"/>
                <w:sz w:val="16"/>
                <w:szCs w:val="16"/>
              </w:rPr>
              <w:t>Zaplanowany personel operacyjny obsługujący usługę będzie odpowiedzialny za manualne procedowanie planów misji, które nie przeszły automatycznie procesu walidacji oraz za monitorowanie misji realizowanych w tych lokalizacjach, w których wdrożono usługę projektu.</w:t>
            </w:r>
          </w:p>
          <w:p w14:paraId="259FAE6D" w14:textId="356A86A8" w:rsidR="000D1F42" w:rsidRPr="009966D8" w:rsidRDefault="000D1F42" w:rsidP="00AE6B8B">
            <w:pPr>
              <w:spacing w:before="120" w:after="120"/>
              <w:jc w:val="both"/>
              <w:rPr>
                <w:rFonts w:ascii="Times New Roman" w:hAnsi="Times New Roman" w:cs="Times New Roman"/>
                <w:sz w:val="16"/>
                <w:szCs w:val="16"/>
              </w:rPr>
            </w:pPr>
            <w:r w:rsidRPr="00ED73F3">
              <w:rPr>
                <w:rFonts w:ascii="Times New Roman" w:hAnsi="Times New Roman" w:cs="Times New Roman"/>
                <w:sz w:val="16"/>
                <w:szCs w:val="16"/>
              </w:rPr>
              <w:t>W ramach redukcji kosztów</w:t>
            </w:r>
            <w:r w:rsidR="0087765F" w:rsidRPr="00ED73F3">
              <w:rPr>
                <w:rFonts w:ascii="Times New Roman" w:hAnsi="Times New Roman" w:cs="Times New Roman"/>
                <w:sz w:val="16"/>
                <w:szCs w:val="16"/>
              </w:rPr>
              <w:t xml:space="preserve">, </w:t>
            </w:r>
            <w:r w:rsidRPr="00ED73F3">
              <w:rPr>
                <w:rFonts w:ascii="Times New Roman" w:hAnsi="Times New Roman" w:cs="Times New Roman"/>
                <w:sz w:val="16"/>
                <w:szCs w:val="16"/>
              </w:rPr>
              <w:t xml:space="preserve">ograniczono liczbę personelu do niezbędnego minimum umożliwiającego zapewnienie obsady. Poniżej szczegółowe wyliczenia / wyjaśnienia, opisujące </w:t>
            </w:r>
            <w:r w:rsidRPr="009966D8">
              <w:rPr>
                <w:rFonts w:ascii="Times New Roman" w:hAnsi="Times New Roman" w:cs="Times New Roman"/>
                <w:sz w:val="16"/>
                <w:szCs w:val="16"/>
              </w:rPr>
              <w:t>p</w:t>
            </w:r>
            <w:r w:rsidR="00AE6B8B">
              <w:rPr>
                <w:rFonts w:ascii="Times New Roman" w:hAnsi="Times New Roman" w:cs="Times New Roman"/>
                <w:sz w:val="16"/>
                <w:szCs w:val="16"/>
              </w:rPr>
              <w:t>rzyjęty wariant minimalistyczny.</w:t>
            </w:r>
          </w:p>
          <w:p w14:paraId="79F3637C" w14:textId="13356F35" w:rsidR="000D1F42" w:rsidRPr="00ED73F3" w:rsidRDefault="000D1F42" w:rsidP="00AE6B8B">
            <w:pPr>
              <w:spacing w:before="120" w:after="120"/>
              <w:jc w:val="both"/>
              <w:rPr>
                <w:rFonts w:ascii="Times New Roman" w:hAnsi="Times New Roman" w:cs="Times New Roman"/>
                <w:sz w:val="16"/>
                <w:szCs w:val="16"/>
              </w:rPr>
            </w:pPr>
            <w:r w:rsidRPr="009966D8">
              <w:rPr>
                <w:rFonts w:ascii="Times New Roman" w:hAnsi="Times New Roman" w:cs="Times New Roman"/>
                <w:sz w:val="16"/>
                <w:szCs w:val="16"/>
              </w:rPr>
              <w:t>W pierwszych dwóch latach działania usługi zakłada się, że wystarczająca będzie jedna osoba na stanowisku SUP DTM</w:t>
            </w:r>
            <w:r w:rsidRPr="00ED73F3">
              <w:rPr>
                <w:rFonts w:ascii="Times New Roman" w:hAnsi="Times New Roman" w:cs="Times New Roman"/>
                <w:sz w:val="16"/>
                <w:szCs w:val="16"/>
              </w:rPr>
              <w:t xml:space="preserve"> Autonomia, która będzie równocześnie odpowiedzialna za procedowanie nieautomatycznych planów misji dla trzech lokalizacji oraz równocześnie monitoring na poziomie taktycznym sytuacji operacyjnej we wszystkich trzech lokalizacjach. Aby wypełnić dobową obsadę potrzebne są dwie osoby – zakłada się że w nocy usługa nie będzie świadczona</w:t>
            </w:r>
            <w:r w:rsidR="00076C83" w:rsidRPr="00ED73F3">
              <w:rPr>
                <w:rFonts w:ascii="Times New Roman" w:hAnsi="Times New Roman" w:cs="Times New Roman"/>
                <w:sz w:val="16"/>
                <w:szCs w:val="16"/>
              </w:rPr>
              <w:t xml:space="preserve"> (16</w:t>
            </w:r>
            <w:r w:rsidR="00AE6B8B">
              <w:rPr>
                <w:rFonts w:ascii="Times New Roman" w:hAnsi="Times New Roman" w:cs="Times New Roman"/>
                <w:sz w:val="16"/>
                <w:szCs w:val="16"/>
              </w:rPr>
              <w:t> </w:t>
            </w:r>
            <w:r w:rsidR="00076C83" w:rsidRPr="00ED73F3">
              <w:rPr>
                <w:rFonts w:ascii="Times New Roman" w:hAnsi="Times New Roman" w:cs="Times New Roman"/>
                <w:sz w:val="16"/>
                <w:szCs w:val="16"/>
              </w:rPr>
              <w:t>h dziennie pracy na stanowisku obsługującym usługę)</w:t>
            </w:r>
            <w:r w:rsidR="00AE6B8B">
              <w:rPr>
                <w:rFonts w:ascii="Times New Roman" w:hAnsi="Times New Roman" w:cs="Times New Roman"/>
                <w:sz w:val="16"/>
                <w:szCs w:val="16"/>
              </w:rPr>
              <w:t>.</w:t>
            </w:r>
          </w:p>
          <w:p w14:paraId="093C8EBA" w14:textId="406B4241" w:rsidR="000D1F42" w:rsidRPr="000D1F42" w:rsidRDefault="000D1F42" w:rsidP="00AE6B8B">
            <w:pPr>
              <w:spacing w:before="120" w:after="120"/>
              <w:jc w:val="both"/>
              <w:rPr>
                <w:rFonts w:ascii="Times New Roman" w:hAnsi="Times New Roman" w:cs="Times New Roman"/>
                <w:sz w:val="16"/>
                <w:szCs w:val="16"/>
              </w:rPr>
            </w:pPr>
            <w:r w:rsidRPr="000D1F42">
              <w:rPr>
                <w:rFonts w:ascii="Times New Roman" w:hAnsi="Times New Roman" w:cs="Times New Roman"/>
                <w:sz w:val="16"/>
                <w:szCs w:val="16"/>
              </w:rPr>
              <w:t>Od 3 roku działania usługi zakłada się na tyle zwiększenie użytkowników korzystających z usługi, że jedna osoba w szczególności w godzinach wzmożonego ruchu BSP nie będzie w stanie zarówno monitorować sytuacji operacyjnej w 3 lokalizacjach jak i procedować nieautomatyczne plany misji. Tym samym koniecznym będzie zwiększenie obsady poprzez dołożenie na dobę jednej osoby, która będzie w okresie wzmożonego ruchu realizowała część obowiązków stanowiska SUP DTM Autonomia.</w:t>
            </w:r>
          </w:p>
          <w:p w14:paraId="194A6E36" w14:textId="4F5C218D" w:rsidR="00A8495E" w:rsidRDefault="000D1F42" w:rsidP="00AE6B8B">
            <w:pPr>
              <w:spacing w:before="120" w:after="120"/>
              <w:jc w:val="both"/>
              <w:rPr>
                <w:rFonts w:ascii="Times New Roman" w:hAnsi="Times New Roman" w:cs="Times New Roman"/>
                <w:sz w:val="16"/>
                <w:szCs w:val="16"/>
              </w:rPr>
            </w:pPr>
            <w:r w:rsidRPr="000D1F42">
              <w:rPr>
                <w:rFonts w:ascii="Times New Roman" w:hAnsi="Times New Roman" w:cs="Times New Roman"/>
                <w:sz w:val="16"/>
                <w:szCs w:val="16"/>
              </w:rPr>
              <w:t>Niezbędne dobowe zasoby do wypełnienia potrzeb obsady na stanowisku SUP DTM</w:t>
            </w:r>
            <w:r w:rsidR="008E6AAB">
              <w:rPr>
                <w:rFonts w:ascii="Times New Roman" w:hAnsi="Times New Roman" w:cs="Times New Roman"/>
                <w:sz w:val="16"/>
                <w:szCs w:val="16"/>
              </w:rPr>
              <w:t xml:space="preserve"> Autonomia</w:t>
            </w:r>
          </w:p>
          <w:p w14:paraId="06362001" w14:textId="77777777" w:rsidR="000D1F42" w:rsidRDefault="000D1F42" w:rsidP="000D1F42">
            <w:pPr>
              <w:jc w:val="both"/>
              <w:rPr>
                <w:rFonts w:ascii="Times New Roman" w:hAnsi="Times New Roman" w:cs="Times New Roman"/>
                <w:sz w:val="16"/>
                <w:szCs w:val="16"/>
              </w:rPr>
            </w:pPr>
          </w:p>
          <w:tbl>
            <w:tblPr>
              <w:tblStyle w:val="Tabela-Siatka"/>
              <w:tblW w:w="6319" w:type="dxa"/>
              <w:tblInd w:w="421" w:type="dxa"/>
              <w:tblLayout w:type="fixed"/>
              <w:tblLook w:val="04A0" w:firstRow="1" w:lastRow="0" w:firstColumn="1" w:lastColumn="0" w:noHBand="0" w:noVBand="1"/>
            </w:tblPr>
            <w:tblGrid>
              <w:gridCol w:w="1585"/>
              <w:gridCol w:w="992"/>
              <w:gridCol w:w="851"/>
              <w:gridCol w:w="860"/>
              <w:gridCol w:w="983"/>
              <w:gridCol w:w="1048"/>
            </w:tblGrid>
            <w:tr w:rsidR="00BB4227" w:rsidRPr="000000D8" w14:paraId="21910EFA" w14:textId="77777777" w:rsidTr="00CD6221">
              <w:tc>
                <w:tcPr>
                  <w:tcW w:w="1585" w:type="dxa"/>
                </w:tcPr>
                <w:p w14:paraId="1F7B5EEA" w14:textId="77777777" w:rsidR="00BB4227" w:rsidRPr="009928F8" w:rsidRDefault="00BB4227" w:rsidP="00BB4227">
                  <w:pPr>
                    <w:ind w:left="426"/>
                    <w:jc w:val="both"/>
                    <w:rPr>
                      <w:rFonts w:ascii="Times New Roman" w:hAnsi="Times New Roman" w:cs="Times New Roman"/>
                      <w:sz w:val="16"/>
                      <w:szCs w:val="16"/>
                    </w:rPr>
                  </w:pPr>
                  <w:bookmarkStart w:id="5" w:name="_Hlk105956016"/>
                </w:p>
              </w:tc>
              <w:tc>
                <w:tcPr>
                  <w:tcW w:w="992" w:type="dxa"/>
                </w:tcPr>
                <w:p w14:paraId="5AF4F2A6" w14:textId="77777777" w:rsidR="00BB4227" w:rsidRPr="009928F8" w:rsidRDefault="00BB4227" w:rsidP="009928F8">
                  <w:pPr>
                    <w:jc w:val="center"/>
                    <w:rPr>
                      <w:rFonts w:ascii="Times New Roman" w:hAnsi="Times New Roman" w:cs="Times New Roman"/>
                      <w:sz w:val="16"/>
                      <w:szCs w:val="16"/>
                    </w:rPr>
                  </w:pPr>
                  <w:r w:rsidRPr="009928F8">
                    <w:rPr>
                      <w:rFonts w:ascii="Times New Roman" w:hAnsi="Times New Roman" w:cs="Times New Roman"/>
                      <w:sz w:val="16"/>
                      <w:szCs w:val="16"/>
                    </w:rPr>
                    <w:t>2024</w:t>
                  </w:r>
                </w:p>
              </w:tc>
              <w:tc>
                <w:tcPr>
                  <w:tcW w:w="851" w:type="dxa"/>
                </w:tcPr>
                <w:p w14:paraId="020DBAA0" w14:textId="77777777" w:rsidR="00BB4227" w:rsidRPr="009928F8" w:rsidRDefault="00BB4227" w:rsidP="009928F8">
                  <w:pPr>
                    <w:jc w:val="center"/>
                    <w:rPr>
                      <w:rFonts w:ascii="Times New Roman" w:hAnsi="Times New Roman" w:cs="Times New Roman"/>
                      <w:sz w:val="16"/>
                      <w:szCs w:val="16"/>
                    </w:rPr>
                  </w:pPr>
                  <w:r w:rsidRPr="009928F8">
                    <w:rPr>
                      <w:rFonts w:ascii="Times New Roman" w:hAnsi="Times New Roman" w:cs="Times New Roman"/>
                      <w:sz w:val="16"/>
                      <w:szCs w:val="16"/>
                    </w:rPr>
                    <w:t>2025</w:t>
                  </w:r>
                </w:p>
              </w:tc>
              <w:tc>
                <w:tcPr>
                  <w:tcW w:w="860" w:type="dxa"/>
                </w:tcPr>
                <w:p w14:paraId="63BD4A50" w14:textId="77777777" w:rsidR="00BB4227" w:rsidRPr="009928F8" w:rsidRDefault="00BB4227" w:rsidP="009928F8">
                  <w:pPr>
                    <w:jc w:val="center"/>
                    <w:rPr>
                      <w:rFonts w:ascii="Times New Roman" w:hAnsi="Times New Roman" w:cs="Times New Roman"/>
                      <w:sz w:val="16"/>
                      <w:szCs w:val="16"/>
                    </w:rPr>
                  </w:pPr>
                  <w:r w:rsidRPr="009928F8">
                    <w:rPr>
                      <w:rFonts w:ascii="Times New Roman" w:hAnsi="Times New Roman" w:cs="Times New Roman"/>
                      <w:sz w:val="16"/>
                      <w:szCs w:val="16"/>
                    </w:rPr>
                    <w:t>2026</w:t>
                  </w:r>
                </w:p>
              </w:tc>
              <w:tc>
                <w:tcPr>
                  <w:tcW w:w="983" w:type="dxa"/>
                </w:tcPr>
                <w:p w14:paraId="6FD8D620" w14:textId="77777777" w:rsidR="00BB4227" w:rsidRPr="009928F8" w:rsidRDefault="00BB4227" w:rsidP="009928F8">
                  <w:pPr>
                    <w:ind w:left="426"/>
                    <w:jc w:val="center"/>
                    <w:rPr>
                      <w:rFonts w:ascii="Times New Roman" w:hAnsi="Times New Roman" w:cs="Times New Roman"/>
                      <w:sz w:val="16"/>
                      <w:szCs w:val="16"/>
                    </w:rPr>
                  </w:pPr>
                  <w:r w:rsidRPr="009928F8">
                    <w:rPr>
                      <w:rFonts w:ascii="Times New Roman" w:hAnsi="Times New Roman" w:cs="Times New Roman"/>
                      <w:sz w:val="16"/>
                      <w:szCs w:val="16"/>
                    </w:rPr>
                    <w:t>2027</w:t>
                  </w:r>
                </w:p>
              </w:tc>
              <w:tc>
                <w:tcPr>
                  <w:tcW w:w="1048" w:type="dxa"/>
                </w:tcPr>
                <w:p w14:paraId="6C9B6C27" w14:textId="77777777" w:rsidR="00BB4227" w:rsidRPr="009928F8" w:rsidRDefault="00BB4227" w:rsidP="009928F8">
                  <w:pPr>
                    <w:ind w:left="426"/>
                    <w:jc w:val="center"/>
                    <w:rPr>
                      <w:rFonts w:ascii="Times New Roman" w:hAnsi="Times New Roman" w:cs="Times New Roman"/>
                      <w:sz w:val="16"/>
                      <w:szCs w:val="16"/>
                    </w:rPr>
                  </w:pPr>
                  <w:r w:rsidRPr="009928F8">
                    <w:rPr>
                      <w:rFonts w:ascii="Times New Roman" w:hAnsi="Times New Roman" w:cs="Times New Roman"/>
                      <w:sz w:val="16"/>
                      <w:szCs w:val="16"/>
                    </w:rPr>
                    <w:t>2028</w:t>
                  </w:r>
                </w:p>
              </w:tc>
            </w:tr>
            <w:tr w:rsidR="00BB4227" w:rsidRPr="000000D8" w14:paraId="254C47E4" w14:textId="77777777" w:rsidTr="00CD6221">
              <w:tc>
                <w:tcPr>
                  <w:tcW w:w="1585" w:type="dxa"/>
                </w:tcPr>
                <w:p w14:paraId="54F85B92" w14:textId="00F8E0C2" w:rsidR="00BB4227" w:rsidRPr="009928F8" w:rsidRDefault="0014658C" w:rsidP="00BB4227">
                  <w:pPr>
                    <w:jc w:val="both"/>
                    <w:rPr>
                      <w:rFonts w:ascii="Times New Roman" w:hAnsi="Times New Roman" w:cs="Times New Roman"/>
                      <w:sz w:val="16"/>
                      <w:szCs w:val="16"/>
                    </w:rPr>
                  </w:pPr>
                  <w:r w:rsidRPr="009928F8">
                    <w:rPr>
                      <w:rFonts w:ascii="Times New Roman" w:hAnsi="Times New Roman" w:cs="Times New Roman"/>
                      <w:sz w:val="16"/>
                      <w:szCs w:val="16"/>
                    </w:rPr>
                    <w:t xml:space="preserve">Wymagane zasoby do zapewniania </w:t>
                  </w:r>
                  <w:r w:rsidRPr="009928F8">
                    <w:rPr>
                      <w:rFonts w:ascii="Times New Roman" w:hAnsi="Times New Roman" w:cs="Times New Roman"/>
                      <w:sz w:val="16"/>
                      <w:szCs w:val="16"/>
                    </w:rPr>
                    <w:lastRenderedPageBreak/>
                    <w:t>obsługi SUP DTM</w:t>
                  </w:r>
                  <w:r w:rsidR="00076C83" w:rsidRPr="009928F8">
                    <w:rPr>
                      <w:rFonts w:ascii="Times New Roman" w:hAnsi="Times New Roman" w:cs="Times New Roman"/>
                      <w:sz w:val="16"/>
                      <w:szCs w:val="16"/>
                    </w:rPr>
                    <w:t xml:space="preserve"> (liczba etatów)</w:t>
                  </w:r>
                </w:p>
              </w:tc>
              <w:tc>
                <w:tcPr>
                  <w:tcW w:w="992" w:type="dxa"/>
                </w:tcPr>
                <w:p w14:paraId="56DDC635" w14:textId="663317E6" w:rsidR="00BB4227" w:rsidRPr="009928F8" w:rsidRDefault="00320858" w:rsidP="009928F8">
                  <w:pPr>
                    <w:jc w:val="center"/>
                    <w:rPr>
                      <w:rFonts w:ascii="Times New Roman" w:hAnsi="Times New Roman" w:cs="Times New Roman"/>
                      <w:sz w:val="16"/>
                      <w:szCs w:val="16"/>
                    </w:rPr>
                  </w:pPr>
                  <w:r w:rsidRPr="009928F8">
                    <w:rPr>
                      <w:rFonts w:ascii="Times New Roman" w:hAnsi="Times New Roman" w:cs="Times New Roman"/>
                      <w:sz w:val="16"/>
                      <w:szCs w:val="16"/>
                    </w:rPr>
                    <w:lastRenderedPageBreak/>
                    <w:t>4</w:t>
                  </w:r>
                  <w:r w:rsidR="00901642" w:rsidRPr="009928F8">
                    <w:rPr>
                      <w:rFonts w:ascii="Times New Roman" w:hAnsi="Times New Roman" w:cs="Times New Roman"/>
                      <w:sz w:val="16"/>
                      <w:szCs w:val="16"/>
                    </w:rPr>
                    <w:t xml:space="preserve"> </w:t>
                  </w:r>
                  <w:r w:rsidR="00076C83" w:rsidRPr="009928F8">
                    <w:rPr>
                      <w:rFonts w:ascii="Times New Roman" w:hAnsi="Times New Roman" w:cs="Times New Roman"/>
                      <w:sz w:val="16"/>
                      <w:szCs w:val="16"/>
                    </w:rPr>
                    <w:t>etaty</w:t>
                  </w:r>
                </w:p>
              </w:tc>
              <w:tc>
                <w:tcPr>
                  <w:tcW w:w="851" w:type="dxa"/>
                </w:tcPr>
                <w:p w14:paraId="1509B4C0" w14:textId="5128ADE4" w:rsidR="00BB4227" w:rsidRPr="009928F8" w:rsidRDefault="00320858" w:rsidP="009928F8">
                  <w:pPr>
                    <w:jc w:val="center"/>
                    <w:rPr>
                      <w:rFonts w:ascii="Times New Roman" w:hAnsi="Times New Roman" w:cs="Times New Roman"/>
                      <w:sz w:val="16"/>
                      <w:szCs w:val="16"/>
                    </w:rPr>
                  </w:pPr>
                  <w:r w:rsidRPr="009928F8">
                    <w:rPr>
                      <w:rFonts w:ascii="Times New Roman" w:hAnsi="Times New Roman" w:cs="Times New Roman"/>
                      <w:sz w:val="16"/>
                      <w:szCs w:val="16"/>
                    </w:rPr>
                    <w:t>4</w:t>
                  </w:r>
                  <w:r w:rsidR="00901642" w:rsidRPr="009928F8">
                    <w:rPr>
                      <w:rFonts w:ascii="Times New Roman" w:hAnsi="Times New Roman" w:cs="Times New Roman"/>
                      <w:sz w:val="16"/>
                      <w:szCs w:val="16"/>
                    </w:rPr>
                    <w:t xml:space="preserve"> </w:t>
                  </w:r>
                  <w:r w:rsidR="00076C83" w:rsidRPr="009928F8">
                    <w:rPr>
                      <w:rFonts w:ascii="Times New Roman" w:hAnsi="Times New Roman" w:cs="Times New Roman"/>
                      <w:sz w:val="16"/>
                      <w:szCs w:val="16"/>
                    </w:rPr>
                    <w:t>etaty</w:t>
                  </w:r>
                </w:p>
              </w:tc>
              <w:tc>
                <w:tcPr>
                  <w:tcW w:w="860" w:type="dxa"/>
                </w:tcPr>
                <w:p w14:paraId="3067E6E5" w14:textId="4BE5BEFD" w:rsidR="00BB4227" w:rsidRPr="009928F8" w:rsidRDefault="0014658C" w:rsidP="009928F8">
                  <w:pPr>
                    <w:jc w:val="center"/>
                    <w:rPr>
                      <w:rFonts w:ascii="Times New Roman" w:hAnsi="Times New Roman" w:cs="Times New Roman"/>
                      <w:sz w:val="16"/>
                      <w:szCs w:val="16"/>
                    </w:rPr>
                  </w:pPr>
                  <w:r w:rsidRPr="009928F8">
                    <w:rPr>
                      <w:rFonts w:ascii="Times New Roman" w:hAnsi="Times New Roman" w:cs="Times New Roman"/>
                      <w:sz w:val="16"/>
                      <w:szCs w:val="16"/>
                    </w:rPr>
                    <w:t>6</w:t>
                  </w:r>
                  <w:r w:rsidR="00901642" w:rsidRPr="009928F8">
                    <w:rPr>
                      <w:rFonts w:ascii="Times New Roman" w:hAnsi="Times New Roman" w:cs="Times New Roman"/>
                      <w:sz w:val="16"/>
                      <w:szCs w:val="16"/>
                    </w:rPr>
                    <w:t xml:space="preserve"> </w:t>
                  </w:r>
                  <w:r w:rsidR="00076C83" w:rsidRPr="009928F8">
                    <w:rPr>
                      <w:rFonts w:ascii="Times New Roman" w:hAnsi="Times New Roman" w:cs="Times New Roman"/>
                      <w:sz w:val="16"/>
                      <w:szCs w:val="16"/>
                    </w:rPr>
                    <w:t>etatów</w:t>
                  </w:r>
                </w:p>
              </w:tc>
              <w:tc>
                <w:tcPr>
                  <w:tcW w:w="983" w:type="dxa"/>
                </w:tcPr>
                <w:p w14:paraId="1D119B10" w14:textId="7B968388" w:rsidR="00BB4227" w:rsidRPr="009928F8" w:rsidRDefault="0014658C" w:rsidP="009928F8">
                  <w:pPr>
                    <w:jc w:val="center"/>
                    <w:rPr>
                      <w:rFonts w:ascii="Times New Roman" w:hAnsi="Times New Roman" w:cs="Times New Roman"/>
                      <w:sz w:val="16"/>
                      <w:szCs w:val="16"/>
                    </w:rPr>
                  </w:pPr>
                  <w:r w:rsidRPr="009928F8">
                    <w:rPr>
                      <w:rFonts w:ascii="Times New Roman" w:hAnsi="Times New Roman" w:cs="Times New Roman"/>
                      <w:sz w:val="16"/>
                      <w:szCs w:val="16"/>
                    </w:rPr>
                    <w:t>6</w:t>
                  </w:r>
                  <w:r w:rsidR="00901642" w:rsidRPr="009928F8">
                    <w:rPr>
                      <w:rFonts w:ascii="Times New Roman" w:hAnsi="Times New Roman" w:cs="Times New Roman"/>
                      <w:sz w:val="16"/>
                      <w:szCs w:val="16"/>
                    </w:rPr>
                    <w:t xml:space="preserve"> </w:t>
                  </w:r>
                  <w:r w:rsidR="00076C83" w:rsidRPr="009928F8">
                    <w:rPr>
                      <w:rFonts w:ascii="Times New Roman" w:hAnsi="Times New Roman" w:cs="Times New Roman"/>
                      <w:sz w:val="16"/>
                      <w:szCs w:val="16"/>
                    </w:rPr>
                    <w:t>etatów</w:t>
                  </w:r>
                </w:p>
              </w:tc>
              <w:tc>
                <w:tcPr>
                  <w:tcW w:w="1048" w:type="dxa"/>
                </w:tcPr>
                <w:p w14:paraId="47766D4F" w14:textId="4EF5F159" w:rsidR="00BB4227" w:rsidRPr="009928F8" w:rsidRDefault="00A61155" w:rsidP="009928F8">
                  <w:pPr>
                    <w:jc w:val="center"/>
                    <w:rPr>
                      <w:rFonts w:ascii="Times New Roman" w:hAnsi="Times New Roman" w:cs="Times New Roman"/>
                      <w:sz w:val="16"/>
                      <w:szCs w:val="16"/>
                    </w:rPr>
                  </w:pPr>
                  <w:r w:rsidRPr="009928F8">
                    <w:rPr>
                      <w:rFonts w:ascii="Times New Roman" w:hAnsi="Times New Roman" w:cs="Times New Roman"/>
                      <w:sz w:val="16"/>
                      <w:szCs w:val="16"/>
                    </w:rPr>
                    <w:t xml:space="preserve">6 </w:t>
                  </w:r>
                  <w:r w:rsidR="00076C83" w:rsidRPr="009928F8">
                    <w:rPr>
                      <w:rFonts w:ascii="Times New Roman" w:hAnsi="Times New Roman" w:cs="Times New Roman"/>
                      <w:sz w:val="16"/>
                      <w:szCs w:val="16"/>
                    </w:rPr>
                    <w:t>etatów</w:t>
                  </w:r>
                </w:p>
              </w:tc>
            </w:tr>
            <w:bookmarkEnd w:id="5"/>
          </w:tbl>
          <w:p w14:paraId="6C5779FF" w14:textId="72F01056" w:rsidR="00A8495E" w:rsidRDefault="00A8495E" w:rsidP="00BD4CB1">
            <w:pPr>
              <w:jc w:val="both"/>
              <w:rPr>
                <w:rFonts w:ascii="Times New Roman" w:hAnsi="Times New Roman" w:cs="Times New Roman"/>
                <w:sz w:val="16"/>
                <w:szCs w:val="16"/>
              </w:rPr>
            </w:pPr>
          </w:p>
          <w:p w14:paraId="30156FED" w14:textId="77777777" w:rsidR="00304540" w:rsidRPr="009928F8" w:rsidRDefault="00304540" w:rsidP="00AE6B8B">
            <w:pPr>
              <w:spacing w:before="120" w:after="120"/>
              <w:jc w:val="both"/>
              <w:rPr>
                <w:rFonts w:ascii="Times New Roman" w:hAnsi="Times New Roman" w:cs="Times New Roman"/>
                <w:sz w:val="16"/>
                <w:szCs w:val="16"/>
              </w:rPr>
            </w:pPr>
            <w:r w:rsidRPr="009928F8">
              <w:rPr>
                <w:rFonts w:ascii="Times New Roman" w:hAnsi="Times New Roman" w:cs="Times New Roman"/>
                <w:sz w:val="16"/>
                <w:szCs w:val="16"/>
              </w:rPr>
              <w:t>Przykładowo – dla 2024 i 2025 roku:</w:t>
            </w:r>
          </w:p>
          <w:p w14:paraId="417395F6" w14:textId="7066FECB" w:rsidR="00304540" w:rsidRPr="009928F8" w:rsidRDefault="00304540" w:rsidP="00AE6B8B">
            <w:pPr>
              <w:spacing w:before="120" w:after="120"/>
              <w:jc w:val="both"/>
              <w:rPr>
                <w:rFonts w:ascii="Times New Roman" w:hAnsi="Times New Roman" w:cs="Times New Roman"/>
                <w:sz w:val="16"/>
                <w:szCs w:val="16"/>
              </w:rPr>
            </w:pPr>
            <w:r w:rsidRPr="009928F8">
              <w:rPr>
                <w:rFonts w:ascii="Times New Roman" w:hAnsi="Times New Roman" w:cs="Times New Roman"/>
                <w:sz w:val="16"/>
                <w:szCs w:val="16"/>
              </w:rPr>
              <w:t>Miesięczna liczba godzin do obsadzenia: 16</w:t>
            </w:r>
            <w:r w:rsidR="00AE6B8B">
              <w:rPr>
                <w:rFonts w:ascii="Times New Roman" w:hAnsi="Times New Roman" w:cs="Times New Roman"/>
                <w:sz w:val="16"/>
                <w:szCs w:val="16"/>
              </w:rPr>
              <w:t> </w:t>
            </w:r>
            <w:r w:rsidRPr="009928F8">
              <w:rPr>
                <w:rFonts w:ascii="Times New Roman" w:hAnsi="Times New Roman" w:cs="Times New Roman"/>
                <w:sz w:val="16"/>
                <w:szCs w:val="16"/>
              </w:rPr>
              <w:t>h x 30 dni – 480h.</w:t>
            </w:r>
          </w:p>
          <w:p w14:paraId="0A4CE76C" w14:textId="18CE78C6" w:rsidR="00304540" w:rsidRPr="009928F8" w:rsidRDefault="00304540" w:rsidP="00AE6B8B">
            <w:pPr>
              <w:spacing w:before="120" w:after="120"/>
              <w:jc w:val="both"/>
              <w:rPr>
                <w:rFonts w:ascii="Times New Roman" w:hAnsi="Times New Roman" w:cs="Times New Roman"/>
                <w:sz w:val="16"/>
                <w:szCs w:val="16"/>
              </w:rPr>
            </w:pPr>
            <w:r w:rsidRPr="009928F8">
              <w:rPr>
                <w:rFonts w:ascii="Times New Roman" w:hAnsi="Times New Roman" w:cs="Times New Roman"/>
                <w:sz w:val="16"/>
                <w:szCs w:val="16"/>
              </w:rPr>
              <w:t>Mając na uwadze urlopy, zwolnienia lekarskie, szkolenia dostępność pracownika do planowania obsady wynosi średnio około 75% w skali roku. Tym samym potrzebne są zasoby na poziomie minimum 640</w:t>
            </w:r>
            <w:r w:rsidR="00AE6B8B">
              <w:rPr>
                <w:rFonts w:ascii="Times New Roman" w:hAnsi="Times New Roman" w:cs="Times New Roman"/>
                <w:sz w:val="16"/>
                <w:szCs w:val="16"/>
              </w:rPr>
              <w:t> </w:t>
            </w:r>
            <w:r w:rsidRPr="009928F8">
              <w:rPr>
                <w:rFonts w:ascii="Times New Roman" w:hAnsi="Times New Roman" w:cs="Times New Roman"/>
                <w:sz w:val="16"/>
                <w:szCs w:val="16"/>
              </w:rPr>
              <w:t>h co wypełnia posiadanie w dyspozycji 4 osób (4 x 168</w:t>
            </w:r>
            <w:r w:rsidR="00AE6B8B">
              <w:rPr>
                <w:rFonts w:ascii="Times New Roman" w:hAnsi="Times New Roman" w:cs="Times New Roman"/>
                <w:sz w:val="16"/>
                <w:szCs w:val="16"/>
              </w:rPr>
              <w:t> </w:t>
            </w:r>
            <w:r w:rsidRPr="009928F8">
              <w:rPr>
                <w:rFonts w:ascii="Times New Roman" w:hAnsi="Times New Roman" w:cs="Times New Roman"/>
                <w:sz w:val="16"/>
                <w:szCs w:val="16"/>
              </w:rPr>
              <w:t>h = 672</w:t>
            </w:r>
            <w:r w:rsidR="00AE6B8B">
              <w:rPr>
                <w:rFonts w:ascii="Times New Roman" w:hAnsi="Times New Roman" w:cs="Times New Roman"/>
                <w:sz w:val="16"/>
                <w:szCs w:val="16"/>
              </w:rPr>
              <w:t> </w:t>
            </w:r>
            <w:r w:rsidRPr="009928F8">
              <w:rPr>
                <w:rFonts w:ascii="Times New Roman" w:hAnsi="Times New Roman" w:cs="Times New Roman"/>
                <w:sz w:val="16"/>
                <w:szCs w:val="16"/>
              </w:rPr>
              <w:t>h).</w:t>
            </w:r>
          </w:p>
          <w:p w14:paraId="4356C0AC" w14:textId="77777777" w:rsidR="00304540" w:rsidRPr="009928F8" w:rsidRDefault="00304540" w:rsidP="00AE6B8B">
            <w:pPr>
              <w:spacing w:before="120" w:after="120"/>
              <w:jc w:val="both"/>
              <w:rPr>
                <w:rFonts w:ascii="Times New Roman" w:hAnsi="Times New Roman" w:cs="Times New Roman"/>
                <w:sz w:val="16"/>
                <w:szCs w:val="16"/>
              </w:rPr>
            </w:pPr>
            <w:r w:rsidRPr="009928F8">
              <w:rPr>
                <w:rFonts w:ascii="Times New Roman" w:hAnsi="Times New Roman" w:cs="Times New Roman"/>
                <w:sz w:val="16"/>
                <w:szCs w:val="16"/>
              </w:rPr>
              <w:t>Analogicznie należy zastosować te same wyliczenia dla kolejnych lat.</w:t>
            </w:r>
          </w:p>
          <w:p w14:paraId="7EAFB83D" w14:textId="6E525A8F" w:rsidR="00A8495E" w:rsidRPr="009928F8" w:rsidRDefault="00304540" w:rsidP="00AE6B8B">
            <w:pPr>
              <w:spacing w:before="120" w:after="120"/>
              <w:jc w:val="both"/>
              <w:rPr>
                <w:rFonts w:ascii="Times New Roman" w:hAnsi="Times New Roman" w:cs="Times New Roman"/>
                <w:sz w:val="16"/>
                <w:szCs w:val="16"/>
              </w:rPr>
            </w:pPr>
            <w:r w:rsidRPr="009928F8">
              <w:rPr>
                <w:rFonts w:ascii="Times New Roman" w:hAnsi="Times New Roman" w:cs="Times New Roman"/>
                <w:sz w:val="16"/>
                <w:szCs w:val="16"/>
              </w:rPr>
              <w:t>2026-202</w:t>
            </w:r>
            <w:r w:rsidR="008E6AAB">
              <w:rPr>
                <w:rFonts w:ascii="Times New Roman" w:hAnsi="Times New Roman" w:cs="Times New Roman"/>
                <w:sz w:val="16"/>
                <w:szCs w:val="16"/>
              </w:rPr>
              <w:t>8</w:t>
            </w:r>
            <w:r w:rsidRPr="009928F8">
              <w:rPr>
                <w:rFonts w:ascii="Times New Roman" w:hAnsi="Times New Roman" w:cs="Times New Roman"/>
                <w:sz w:val="16"/>
                <w:szCs w:val="16"/>
              </w:rPr>
              <w:t>: 24</w:t>
            </w:r>
            <w:r w:rsidR="00AE6B8B">
              <w:rPr>
                <w:rFonts w:ascii="Times New Roman" w:hAnsi="Times New Roman" w:cs="Times New Roman"/>
                <w:sz w:val="16"/>
                <w:szCs w:val="16"/>
              </w:rPr>
              <w:t> </w:t>
            </w:r>
            <w:r w:rsidRPr="009928F8">
              <w:rPr>
                <w:rFonts w:ascii="Times New Roman" w:hAnsi="Times New Roman" w:cs="Times New Roman"/>
                <w:sz w:val="16"/>
                <w:szCs w:val="16"/>
              </w:rPr>
              <w:t>h x 30 dni = 720h.  Minimum 960</w:t>
            </w:r>
            <w:r w:rsidR="00AE6B8B">
              <w:rPr>
                <w:rFonts w:ascii="Times New Roman" w:hAnsi="Times New Roman" w:cs="Times New Roman"/>
                <w:sz w:val="16"/>
                <w:szCs w:val="16"/>
              </w:rPr>
              <w:t> </w:t>
            </w:r>
            <w:r w:rsidRPr="009928F8">
              <w:rPr>
                <w:rFonts w:ascii="Times New Roman" w:hAnsi="Times New Roman" w:cs="Times New Roman"/>
                <w:sz w:val="16"/>
                <w:szCs w:val="16"/>
              </w:rPr>
              <w:t>h (75% daje 720</w:t>
            </w:r>
            <w:r w:rsidR="00AE6B8B">
              <w:rPr>
                <w:rFonts w:ascii="Times New Roman" w:hAnsi="Times New Roman" w:cs="Times New Roman"/>
                <w:sz w:val="16"/>
                <w:szCs w:val="16"/>
              </w:rPr>
              <w:t> </w:t>
            </w:r>
            <w:r w:rsidRPr="009928F8">
              <w:rPr>
                <w:rFonts w:ascii="Times New Roman" w:hAnsi="Times New Roman" w:cs="Times New Roman"/>
                <w:sz w:val="16"/>
                <w:szCs w:val="16"/>
              </w:rPr>
              <w:t>h). 960</w:t>
            </w:r>
            <w:r w:rsidR="00AE6B8B">
              <w:rPr>
                <w:rFonts w:ascii="Times New Roman" w:hAnsi="Times New Roman" w:cs="Times New Roman"/>
                <w:sz w:val="16"/>
                <w:szCs w:val="16"/>
              </w:rPr>
              <w:t> </w:t>
            </w:r>
            <w:r w:rsidRPr="009928F8">
              <w:rPr>
                <w:rFonts w:ascii="Times New Roman" w:hAnsi="Times New Roman" w:cs="Times New Roman"/>
                <w:sz w:val="16"/>
                <w:szCs w:val="16"/>
              </w:rPr>
              <w:t>h / 160</w:t>
            </w:r>
            <w:r w:rsidR="00AE6B8B">
              <w:rPr>
                <w:rFonts w:ascii="Times New Roman" w:hAnsi="Times New Roman" w:cs="Times New Roman"/>
                <w:sz w:val="16"/>
                <w:szCs w:val="16"/>
              </w:rPr>
              <w:t> </w:t>
            </w:r>
            <w:r w:rsidRPr="009928F8">
              <w:rPr>
                <w:rFonts w:ascii="Times New Roman" w:hAnsi="Times New Roman" w:cs="Times New Roman"/>
                <w:sz w:val="16"/>
                <w:szCs w:val="16"/>
              </w:rPr>
              <w:t>h = 6</w:t>
            </w:r>
            <w:r w:rsidR="008E6AAB">
              <w:rPr>
                <w:rFonts w:ascii="Times New Roman" w:hAnsi="Times New Roman" w:cs="Times New Roman"/>
                <w:sz w:val="16"/>
                <w:szCs w:val="16"/>
              </w:rPr>
              <w:t xml:space="preserve"> etatów</w:t>
            </w:r>
            <w:r w:rsidRPr="009928F8">
              <w:rPr>
                <w:rFonts w:ascii="Times New Roman" w:hAnsi="Times New Roman" w:cs="Times New Roman"/>
                <w:sz w:val="16"/>
                <w:szCs w:val="16"/>
              </w:rPr>
              <w:t>.</w:t>
            </w:r>
          </w:p>
          <w:p w14:paraId="759727B1" w14:textId="282ACB0A" w:rsidR="000240CA" w:rsidRPr="00F16456" w:rsidRDefault="000240CA" w:rsidP="00AE6B8B">
            <w:pPr>
              <w:spacing w:before="120" w:after="120"/>
              <w:jc w:val="both"/>
              <w:rPr>
                <w:rFonts w:ascii="Times New Roman" w:hAnsi="Times New Roman" w:cs="Times New Roman"/>
                <w:sz w:val="16"/>
                <w:szCs w:val="16"/>
                <w:u w:val="single"/>
              </w:rPr>
            </w:pPr>
            <w:r w:rsidRPr="00F16456">
              <w:rPr>
                <w:rFonts w:ascii="Times New Roman" w:hAnsi="Times New Roman" w:cs="Times New Roman"/>
                <w:sz w:val="16"/>
                <w:szCs w:val="16"/>
                <w:u w:val="single"/>
              </w:rPr>
              <w:t>Zasoby IT</w:t>
            </w:r>
          </w:p>
          <w:p w14:paraId="147E033A" w14:textId="7F613BDD" w:rsidR="000240CA" w:rsidRPr="00B5006E" w:rsidRDefault="000240CA" w:rsidP="00AE6B8B">
            <w:pPr>
              <w:spacing w:before="120" w:after="120"/>
              <w:jc w:val="both"/>
              <w:rPr>
                <w:rFonts w:ascii="Times New Roman" w:hAnsi="Times New Roman" w:cs="Times New Roman"/>
                <w:sz w:val="16"/>
                <w:szCs w:val="16"/>
              </w:rPr>
            </w:pPr>
            <w:r w:rsidRPr="00F16456">
              <w:rPr>
                <w:rFonts w:ascii="Times New Roman" w:hAnsi="Times New Roman" w:cs="Times New Roman"/>
                <w:sz w:val="16"/>
                <w:szCs w:val="16"/>
              </w:rPr>
              <w:t xml:space="preserve">Przewiduje się, że w okresie utrzymania </w:t>
            </w:r>
            <w:r w:rsidR="00124EAE" w:rsidRPr="00F16456">
              <w:rPr>
                <w:rFonts w:ascii="Times New Roman" w:hAnsi="Times New Roman" w:cs="Times New Roman"/>
                <w:sz w:val="16"/>
                <w:szCs w:val="16"/>
              </w:rPr>
              <w:t xml:space="preserve">trwałości </w:t>
            </w:r>
            <w:r w:rsidR="008C0D26">
              <w:rPr>
                <w:rFonts w:ascii="Times New Roman" w:hAnsi="Times New Roman" w:cs="Times New Roman"/>
                <w:sz w:val="16"/>
                <w:szCs w:val="16"/>
              </w:rPr>
              <w:t>projektu</w:t>
            </w:r>
            <w:r w:rsidRPr="00F16456">
              <w:rPr>
                <w:rFonts w:ascii="Times New Roman" w:hAnsi="Times New Roman" w:cs="Times New Roman"/>
                <w:sz w:val="16"/>
                <w:szCs w:val="16"/>
              </w:rPr>
              <w:t xml:space="preserve"> niezbędne będzie </w:t>
            </w:r>
            <w:r w:rsidR="005D533F" w:rsidRPr="00F16456">
              <w:rPr>
                <w:rFonts w:ascii="Times New Roman" w:hAnsi="Times New Roman" w:cs="Times New Roman"/>
                <w:sz w:val="16"/>
                <w:szCs w:val="16"/>
              </w:rPr>
              <w:t xml:space="preserve">zapewnienie </w:t>
            </w:r>
            <w:r w:rsidR="00C93B46" w:rsidRPr="00F16456">
              <w:rPr>
                <w:rFonts w:ascii="Times New Roman" w:hAnsi="Times New Roman" w:cs="Times New Roman"/>
                <w:sz w:val="16"/>
                <w:szCs w:val="16"/>
              </w:rPr>
              <w:t>ok. 1</w:t>
            </w:r>
            <w:r w:rsidR="00770291" w:rsidRPr="00F16456">
              <w:rPr>
                <w:rFonts w:ascii="Times New Roman" w:hAnsi="Times New Roman" w:cs="Times New Roman"/>
                <w:sz w:val="16"/>
                <w:szCs w:val="16"/>
              </w:rPr>
              <w:t>0</w:t>
            </w:r>
            <w:r w:rsidR="00C93B46" w:rsidRPr="00F16456">
              <w:rPr>
                <w:rFonts w:ascii="Times New Roman" w:hAnsi="Times New Roman" w:cs="Times New Roman"/>
                <w:sz w:val="16"/>
                <w:szCs w:val="16"/>
              </w:rPr>
              <w:t xml:space="preserve"> etatów</w:t>
            </w:r>
            <w:r w:rsidR="00770291" w:rsidRPr="00F16456">
              <w:rPr>
                <w:rFonts w:ascii="Times New Roman" w:hAnsi="Times New Roman" w:cs="Times New Roman"/>
                <w:sz w:val="16"/>
                <w:szCs w:val="16"/>
              </w:rPr>
              <w:t xml:space="preserve"> do zapewnienia funkcjonowania usług</w:t>
            </w:r>
            <w:r w:rsidR="00C51F1D" w:rsidRPr="00F16456">
              <w:rPr>
                <w:rFonts w:ascii="Times New Roman" w:hAnsi="Times New Roman" w:cs="Times New Roman"/>
                <w:sz w:val="16"/>
                <w:szCs w:val="16"/>
              </w:rPr>
              <w:t>, w tym przede wszystkim</w:t>
            </w:r>
            <w:r w:rsidR="001D6BE2" w:rsidRPr="00F16456">
              <w:rPr>
                <w:rFonts w:ascii="Times New Roman" w:hAnsi="Times New Roman" w:cs="Times New Roman"/>
                <w:sz w:val="16"/>
                <w:szCs w:val="16"/>
              </w:rPr>
              <w:t xml:space="preserve"> etaty</w:t>
            </w:r>
            <w:r w:rsidR="00C14108" w:rsidRPr="00F16456">
              <w:rPr>
                <w:rFonts w:ascii="Times New Roman" w:hAnsi="Times New Roman" w:cs="Times New Roman"/>
                <w:sz w:val="16"/>
                <w:szCs w:val="16"/>
              </w:rPr>
              <w:t xml:space="preserve"> Developer</w:t>
            </w:r>
            <w:r w:rsidR="001D6BE2" w:rsidRPr="00F16456">
              <w:rPr>
                <w:rFonts w:ascii="Times New Roman" w:hAnsi="Times New Roman" w:cs="Times New Roman"/>
                <w:sz w:val="16"/>
                <w:szCs w:val="16"/>
              </w:rPr>
              <w:t>a</w:t>
            </w:r>
            <w:r w:rsidR="00C14108" w:rsidRPr="00F16456">
              <w:rPr>
                <w:rFonts w:ascii="Times New Roman" w:hAnsi="Times New Roman" w:cs="Times New Roman"/>
                <w:sz w:val="16"/>
                <w:szCs w:val="16"/>
              </w:rPr>
              <w:t>, Analityk</w:t>
            </w:r>
            <w:r w:rsidR="001D6BE2" w:rsidRPr="00F16456">
              <w:rPr>
                <w:rFonts w:ascii="Times New Roman" w:hAnsi="Times New Roman" w:cs="Times New Roman"/>
                <w:sz w:val="16"/>
                <w:szCs w:val="16"/>
              </w:rPr>
              <w:t>a</w:t>
            </w:r>
            <w:r w:rsidR="00C14108" w:rsidRPr="00F16456">
              <w:rPr>
                <w:rFonts w:ascii="Times New Roman" w:hAnsi="Times New Roman" w:cs="Times New Roman"/>
                <w:sz w:val="16"/>
                <w:szCs w:val="16"/>
              </w:rPr>
              <w:t xml:space="preserve"> </w:t>
            </w:r>
            <w:proofErr w:type="spellStart"/>
            <w:r w:rsidR="00E52D8F" w:rsidRPr="00F16456">
              <w:rPr>
                <w:rFonts w:ascii="Times New Roman" w:hAnsi="Times New Roman" w:cs="Times New Roman"/>
                <w:sz w:val="16"/>
                <w:szCs w:val="16"/>
              </w:rPr>
              <w:t>cyberbezpieczeństwa</w:t>
            </w:r>
            <w:proofErr w:type="spellEnd"/>
            <w:r w:rsidR="00D204FE" w:rsidRPr="00F16456">
              <w:rPr>
                <w:rFonts w:ascii="Times New Roman" w:hAnsi="Times New Roman" w:cs="Times New Roman"/>
                <w:sz w:val="16"/>
                <w:szCs w:val="16"/>
              </w:rPr>
              <w:t xml:space="preserve"> / DEV </w:t>
            </w:r>
            <w:proofErr w:type="spellStart"/>
            <w:r w:rsidR="00D204FE" w:rsidRPr="00F16456">
              <w:rPr>
                <w:rFonts w:ascii="Times New Roman" w:hAnsi="Times New Roman" w:cs="Times New Roman"/>
                <w:sz w:val="16"/>
                <w:szCs w:val="16"/>
              </w:rPr>
              <w:t>OPSa</w:t>
            </w:r>
            <w:proofErr w:type="spellEnd"/>
            <w:r w:rsidR="00D204FE" w:rsidRPr="00F16456">
              <w:rPr>
                <w:rFonts w:ascii="Times New Roman" w:hAnsi="Times New Roman" w:cs="Times New Roman"/>
                <w:sz w:val="16"/>
                <w:szCs w:val="16"/>
              </w:rPr>
              <w:t xml:space="preserve"> / UX</w:t>
            </w:r>
            <w:r w:rsidR="00C14108" w:rsidRPr="00F16456">
              <w:rPr>
                <w:rFonts w:ascii="Times New Roman" w:hAnsi="Times New Roman" w:cs="Times New Roman"/>
                <w:sz w:val="16"/>
                <w:szCs w:val="16"/>
              </w:rPr>
              <w:t xml:space="preserve">, IT Lider, IT Product </w:t>
            </w:r>
            <w:proofErr w:type="spellStart"/>
            <w:r w:rsidR="00C14108" w:rsidRPr="00F16456">
              <w:rPr>
                <w:rFonts w:ascii="Times New Roman" w:hAnsi="Times New Roman" w:cs="Times New Roman"/>
                <w:sz w:val="16"/>
                <w:szCs w:val="16"/>
              </w:rPr>
              <w:t>Owner</w:t>
            </w:r>
            <w:proofErr w:type="spellEnd"/>
            <w:r w:rsidR="0017325E" w:rsidRPr="00F16456">
              <w:rPr>
                <w:rFonts w:ascii="Times New Roman" w:hAnsi="Times New Roman" w:cs="Times New Roman"/>
                <w:sz w:val="16"/>
                <w:szCs w:val="16"/>
              </w:rPr>
              <w:t>, Admin</w:t>
            </w:r>
            <w:r w:rsidR="00D014F9" w:rsidRPr="00F16456">
              <w:rPr>
                <w:rFonts w:ascii="Times New Roman" w:hAnsi="Times New Roman" w:cs="Times New Roman"/>
                <w:sz w:val="16"/>
                <w:szCs w:val="16"/>
              </w:rPr>
              <w:t>istrator</w:t>
            </w:r>
            <w:r w:rsidR="00E52D8F" w:rsidRPr="00F16456">
              <w:rPr>
                <w:rFonts w:ascii="Times New Roman" w:hAnsi="Times New Roman" w:cs="Times New Roman"/>
                <w:sz w:val="16"/>
                <w:szCs w:val="16"/>
              </w:rPr>
              <w:t xml:space="preserve">. </w:t>
            </w:r>
            <w:r w:rsidR="000E715A" w:rsidRPr="00F16456">
              <w:rPr>
                <w:rFonts w:ascii="Times New Roman" w:hAnsi="Times New Roman" w:cs="Times New Roman"/>
                <w:sz w:val="16"/>
                <w:szCs w:val="16"/>
              </w:rPr>
              <w:t xml:space="preserve">W związku z koniecznością ograniczania kosztów, do szacunków przyjęto </w:t>
            </w:r>
            <w:r w:rsidR="00A61155" w:rsidRPr="00F16456">
              <w:rPr>
                <w:rFonts w:ascii="Times New Roman" w:hAnsi="Times New Roman" w:cs="Times New Roman"/>
                <w:sz w:val="16"/>
                <w:szCs w:val="16"/>
              </w:rPr>
              <w:t>9</w:t>
            </w:r>
            <w:r w:rsidR="000E715A" w:rsidRPr="00F16456">
              <w:rPr>
                <w:rFonts w:ascii="Times New Roman" w:hAnsi="Times New Roman" w:cs="Times New Roman"/>
                <w:sz w:val="16"/>
                <w:szCs w:val="16"/>
              </w:rPr>
              <w:t xml:space="preserve"> etatów. </w:t>
            </w:r>
            <w:r w:rsidR="00205F90" w:rsidRPr="00F16456">
              <w:rPr>
                <w:rFonts w:ascii="Times New Roman" w:hAnsi="Times New Roman" w:cs="Times New Roman"/>
                <w:sz w:val="16"/>
                <w:szCs w:val="16"/>
              </w:rPr>
              <w:t>Roczny</w:t>
            </w:r>
            <w:r w:rsidR="00E52D8F" w:rsidRPr="00F16456">
              <w:rPr>
                <w:rFonts w:ascii="Times New Roman" w:hAnsi="Times New Roman" w:cs="Times New Roman"/>
                <w:sz w:val="16"/>
                <w:szCs w:val="16"/>
              </w:rPr>
              <w:t xml:space="preserve"> koszt obsługi oszacowano w oparciu o stawki wraz z kosztami pracodawcy zgodne z obowiązującym </w:t>
            </w:r>
            <w:r w:rsidR="008C0D26">
              <w:rPr>
                <w:rFonts w:ascii="Times New Roman" w:hAnsi="Times New Roman" w:cs="Times New Roman"/>
                <w:sz w:val="16"/>
                <w:szCs w:val="16"/>
              </w:rPr>
              <w:t xml:space="preserve">w </w:t>
            </w:r>
            <w:r w:rsidR="008C0D26" w:rsidRPr="00F16456">
              <w:rPr>
                <w:rFonts w:ascii="Times New Roman" w:hAnsi="Times New Roman" w:cs="Times New Roman"/>
                <w:sz w:val="16"/>
                <w:szCs w:val="16"/>
              </w:rPr>
              <w:t>PAŻP</w:t>
            </w:r>
            <w:r w:rsidR="008C0D26" w:rsidRPr="00F16456">
              <w:rPr>
                <w:rFonts w:ascii="Times New Roman" w:hAnsi="Times New Roman" w:cs="Times New Roman"/>
                <w:sz w:val="16"/>
                <w:szCs w:val="16"/>
              </w:rPr>
              <w:t xml:space="preserve"> </w:t>
            </w:r>
            <w:r w:rsidR="00E52D8F" w:rsidRPr="00F16456">
              <w:rPr>
                <w:rFonts w:ascii="Times New Roman" w:hAnsi="Times New Roman" w:cs="Times New Roman"/>
                <w:sz w:val="16"/>
                <w:szCs w:val="16"/>
              </w:rPr>
              <w:t xml:space="preserve">regulaminem wynagradzania </w:t>
            </w:r>
            <w:r w:rsidR="00D204FE" w:rsidRPr="00F16456">
              <w:rPr>
                <w:rFonts w:ascii="Times New Roman" w:hAnsi="Times New Roman" w:cs="Times New Roman"/>
                <w:sz w:val="16"/>
                <w:szCs w:val="16"/>
              </w:rPr>
              <w:t>i z uwzględnieniem rzeczywistych rynkowych kosztów wykwalifikowanych pracowników IT,</w:t>
            </w:r>
            <w:r w:rsidR="00E52D8F" w:rsidRPr="00F16456">
              <w:rPr>
                <w:rFonts w:ascii="Times New Roman" w:hAnsi="Times New Roman" w:cs="Times New Roman"/>
                <w:sz w:val="16"/>
                <w:szCs w:val="16"/>
              </w:rPr>
              <w:t xml:space="preserve"> na </w:t>
            </w:r>
            <w:r w:rsidR="001D6BE2" w:rsidRPr="00F16456">
              <w:rPr>
                <w:rFonts w:ascii="Times New Roman" w:hAnsi="Times New Roman" w:cs="Times New Roman"/>
                <w:sz w:val="16"/>
                <w:szCs w:val="16"/>
              </w:rPr>
              <w:t>kw</w:t>
            </w:r>
            <w:r w:rsidR="004A2125" w:rsidRPr="00F16456">
              <w:rPr>
                <w:rFonts w:ascii="Times New Roman" w:hAnsi="Times New Roman" w:cs="Times New Roman"/>
                <w:sz w:val="16"/>
                <w:szCs w:val="16"/>
              </w:rPr>
              <w:t>ot</w:t>
            </w:r>
            <w:r w:rsidR="001D6BE2" w:rsidRPr="00F16456">
              <w:rPr>
                <w:rFonts w:ascii="Times New Roman" w:hAnsi="Times New Roman" w:cs="Times New Roman"/>
                <w:sz w:val="16"/>
                <w:szCs w:val="16"/>
              </w:rPr>
              <w:t>ę</w:t>
            </w:r>
            <w:r w:rsidR="00E52D8F" w:rsidRPr="00F16456">
              <w:rPr>
                <w:rFonts w:ascii="Times New Roman" w:hAnsi="Times New Roman" w:cs="Times New Roman"/>
                <w:sz w:val="16"/>
                <w:szCs w:val="16"/>
              </w:rPr>
              <w:t xml:space="preserve"> ok. 4,</w:t>
            </w:r>
            <w:r w:rsidR="00EB5351" w:rsidRPr="00F16456">
              <w:rPr>
                <w:rFonts w:ascii="Times New Roman" w:hAnsi="Times New Roman" w:cs="Times New Roman"/>
                <w:sz w:val="16"/>
                <w:szCs w:val="16"/>
              </w:rPr>
              <w:t xml:space="preserve">2 </w:t>
            </w:r>
            <w:r w:rsidR="00E52D8F" w:rsidRPr="00F16456">
              <w:rPr>
                <w:rFonts w:ascii="Times New Roman" w:hAnsi="Times New Roman" w:cs="Times New Roman"/>
                <w:sz w:val="16"/>
                <w:szCs w:val="16"/>
              </w:rPr>
              <w:t>mln PLN.</w:t>
            </w:r>
          </w:p>
          <w:p w14:paraId="620E7646" w14:textId="5FDC4201" w:rsidR="004F41EB" w:rsidRPr="00B5006E" w:rsidRDefault="004F41EB" w:rsidP="00BD4CB1">
            <w:pPr>
              <w:jc w:val="both"/>
              <w:rPr>
                <w:rFonts w:ascii="Times New Roman" w:hAnsi="Times New Roman" w:cs="Times New Roman"/>
                <w:sz w:val="16"/>
                <w:szCs w:val="16"/>
              </w:rPr>
            </w:pPr>
          </w:p>
          <w:tbl>
            <w:tblPr>
              <w:tblStyle w:val="Tabela-Siatka"/>
              <w:tblW w:w="7622" w:type="dxa"/>
              <w:tblLayout w:type="fixed"/>
              <w:tblLook w:val="04A0" w:firstRow="1" w:lastRow="0" w:firstColumn="1" w:lastColumn="0" w:noHBand="0" w:noVBand="1"/>
            </w:tblPr>
            <w:tblGrid>
              <w:gridCol w:w="1243"/>
              <w:gridCol w:w="1276"/>
              <w:gridCol w:w="1134"/>
              <w:gridCol w:w="1418"/>
              <w:gridCol w:w="1275"/>
              <w:gridCol w:w="1276"/>
            </w:tblGrid>
            <w:tr w:rsidR="004F41EB" w:rsidRPr="00B5006E" w14:paraId="455DF5A7" w14:textId="77777777" w:rsidTr="00694876">
              <w:tc>
                <w:tcPr>
                  <w:tcW w:w="1243" w:type="dxa"/>
                  <w:tcBorders>
                    <w:bottom w:val="single" w:sz="4" w:space="0" w:color="auto"/>
                  </w:tcBorders>
                  <w:shd w:val="clear" w:color="auto" w:fill="DBDBDB" w:themeFill="accent3" w:themeFillTint="66"/>
                  <w:vAlign w:val="center"/>
                </w:tcPr>
                <w:p w14:paraId="34C9BA06" w14:textId="77777777" w:rsidR="004F41EB" w:rsidRPr="00B5006E" w:rsidRDefault="004F41EB" w:rsidP="00056AC9">
                  <w:pPr>
                    <w:jc w:val="center"/>
                    <w:rPr>
                      <w:rFonts w:ascii="Times New Roman" w:hAnsi="Times New Roman" w:cs="Times New Roman"/>
                      <w:sz w:val="16"/>
                      <w:szCs w:val="16"/>
                    </w:rPr>
                  </w:pPr>
                  <w:r w:rsidRPr="00B5006E">
                    <w:rPr>
                      <w:rFonts w:ascii="Times New Roman" w:hAnsi="Times New Roman" w:cs="Times New Roman"/>
                      <w:b/>
                      <w:bCs/>
                      <w:sz w:val="16"/>
                      <w:szCs w:val="16"/>
                    </w:rPr>
                    <w:t>2024 r.</w:t>
                  </w:r>
                </w:p>
              </w:tc>
              <w:tc>
                <w:tcPr>
                  <w:tcW w:w="1276" w:type="dxa"/>
                  <w:tcBorders>
                    <w:bottom w:val="single" w:sz="4" w:space="0" w:color="auto"/>
                  </w:tcBorders>
                  <w:shd w:val="clear" w:color="auto" w:fill="DBDBDB" w:themeFill="accent3" w:themeFillTint="66"/>
                  <w:vAlign w:val="center"/>
                </w:tcPr>
                <w:p w14:paraId="39F24C66" w14:textId="77777777" w:rsidR="004F41EB" w:rsidRPr="00B5006E" w:rsidRDefault="004F41EB" w:rsidP="00056AC9">
                  <w:pPr>
                    <w:jc w:val="center"/>
                    <w:rPr>
                      <w:rFonts w:ascii="Times New Roman" w:hAnsi="Times New Roman" w:cs="Times New Roman"/>
                      <w:sz w:val="16"/>
                      <w:szCs w:val="16"/>
                    </w:rPr>
                  </w:pPr>
                  <w:r w:rsidRPr="00B5006E">
                    <w:rPr>
                      <w:rFonts w:ascii="Times New Roman" w:hAnsi="Times New Roman" w:cs="Times New Roman"/>
                      <w:b/>
                      <w:bCs/>
                      <w:sz w:val="16"/>
                      <w:szCs w:val="16"/>
                    </w:rPr>
                    <w:t>2025 r.</w:t>
                  </w:r>
                </w:p>
              </w:tc>
              <w:tc>
                <w:tcPr>
                  <w:tcW w:w="1134" w:type="dxa"/>
                  <w:tcBorders>
                    <w:bottom w:val="single" w:sz="4" w:space="0" w:color="auto"/>
                  </w:tcBorders>
                  <w:shd w:val="clear" w:color="auto" w:fill="DBDBDB" w:themeFill="accent3" w:themeFillTint="66"/>
                  <w:vAlign w:val="center"/>
                </w:tcPr>
                <w:p w14:paraId="1F69C531" w14:textId="77777777" w:rsidR="004F41EB" w:rsidRPr="00B5006E" w:rsidRDefault="004F41EB" w:rsidP="00056AC9">
                  <w:pPr>
                    <w:jc w:val="center"/>
                    <w:rPr>
                      <w:rFonts w:ascii="Times New Roman" w:hAnsi="Times New Roman" w:cs="Times New Roman"/>
                      <w:sz w:val="16"/>
                      <w:szCs w:val="16"/>
                    </w:rPr>
                  </w:pPr>
                  <w:r w:rsidRPr="00B5006E">
                    <w:rPr>
                      <w:rFonts w:ascii="Times New Roman" w:hAnsi="Times New Roman" w:cs="Times New Roman"/>
                      <w:b/>
                      <w:bCs/>
                      <w:sz w:val="16"/>
                      <w:szCs w:val="16"/>
                    </w:rPr>
                    <w:t>2026 r.</w:t>
                  </w:r>
                </w:p>
              </w:tc>
              <w:tc>
                <w:tcPr>
                  <w:tcW w:w="1418" w:type="dxa"/>
                  <w:tcBorders>
                    <w:bottom w:val="single" w:sz="4" w:space="0" w:color="auto"/>
                  </w:tcBorders>
                  <w:shd w:val="clear" w:color="auto" w:fill="DBDBDB" w:themeFill="accent3" w:themeFillTint="66"/>
                  <w:vAlign w:val="center"/>
                </w:tcPr>
                <w:p w14:paraId="37BE9E00" w14:textId="77777777" w:rsidR="004F41EB" w:rsidRPr="00B5006E" w:rsidRDefault="004F41EB" w:rsidP="00056AC9">
                  <w:pPr>
                    <w:jc w:val="center"/>
                    <w:rPr>
                      <w:rFonts w:ascii="Times New Roman" w:hAnsi="Times New Roman" w:cs="Times New Roman"/>
                      <w:sz w:val="16"/>
                      <w:szCs w:val="16"/>
                    </w:rPr>
                  </w:pPr>
                  <w:r w:rsidRPr="00B5006E">
                    <w:rPr>
                      <w:rFonts w:ascii="Times New Roman" w:hAnsi="Times New Roman" w:cs="Times New Roman"/>
                      <w:b/>
                      <w:bCs/>
                      <w:sz w:val="16"/>
                      <w:szCs w:val="16"/>
                    </w:rPr>
                    <w:t>2027 r.</w:t>
                  </w:r>
                </w:p>
              </w:tc>
              <w:tc>
                <w:tcPr>
                  <w:tcW w:w="1275" w:type="dxa"/>
                  <w:tcBorders>
                    <w:bottom w:val="single" w:sz="4" w:space="0" w:color="auto"/>
                  </w:tcBorders>
                  <w:shd w:val="clear" w:color="auto" w:fill="DBDBDB" w:themeFill="accent3" w:themeFillTint="66"/>
                  <w:vAlign w:val="center"/>
                </w:tcPr>
                <w:p w14:paraId="26C03E7E" w14:textId="77777777" w:rsidR="004F41EB" w:rsidRPr="00B5006E" w:rsidRDefault="004F41EB" w:rsidP="00056AC9">
                  <w:pPr>
                    <w:jc w:val="center"/>
                    <w:rPr>
                      <w:rFonts w:ascii="Times New Roman" w:hAnsi="Times New Roman" w:cs="Times New Roman"/>
                      <w:sz w:val="16"/>
                      <w:szCs w:val="16"/>
                    </w:rPr>
                  </w:pPr>
                  <w:r w:rsidRPr="00B5006E">
                    <w:rPr>
                      <w:rFonts w:ascii="Times New Roman" w:hAnsi="Times New Roman" w:cs="Times New Roman"/>
                      <w:b/>
                      <w:bCs/>
                      <w:sz w:val="16"/>
                      <w:szCs w:val="16"/>
                    </w:rPr>
                    <w:t>2028 r.</w:t>
                  </w:r>
                </w:p>
              </w:tc>
              <w:tc>
                <w:tcPr>
                  <w:tcW w:w="1276" w:type="dxa"/>
                  <w:tcBorders>
                    <w:bottom w:val="single" w:sz="4" w:space="0" w:color="auto"/>
                  </w:tcBorders>
                  <w:shd w:val="clear" w:color="auto" w:fill="A6A6A6" w:themeFill="background1" w:themeFillShade="A6"/>
                  <w:vAlign w:val="center"/>
                </w:tcPr>
                <w:p w14:paraId="382A2F1B" w14:textId="77777777" w:rsidR="004F41EB" w:rsidRPr="00B5006E" w:rsidRDefault="004F41EB" w:rsidP="00056AC9">
                  <w:pPr>
                    <w:jc w:val="center"/>
                    <w:rPr>
                      <w:rFonts w:ascii="Times New Roman" w:hAnsi="Times New Roman" w:cs="Times New Roman"/>
                      <w:sz w:val="16"/>
                      <w:szCs w:val="16"/>
                    </w:rPr>
                  </w:pPr>
                  <w:r w:rsidRPr="00B5006E">
                    <w:rPr>
                      <w:rFonts w:ascii="Times New Roman" w:hAnsi="Times New Roman" w:cs="Times New Roman"/>
                      <w:b/>
                      <w:bCs/>
                      <w:sz w:val="16"/>
                      <w:szCs w:val="16"/>
                    </w:rPr>
                    <w:t>2024-2028</w:t>
                  </w:r>
                </w:p>
              </w:tc>
            </w:tr>
            <w:tr w:rsidR="00650BC9" w:rsidRPr="00B5006E" w14:paraId="38F387EA" w14:textId="77777777" w:rsidTr="00694876">
              <w:tc>
                <w:tcPr>
                  <w:tcW w:w="1243" w:type="dxa"/>
                  <w:tcBorders>
                    <w:top w:val="single" w:sz="4" w:space="0" w:color="auto"/>
                    <w:left w:val="single" w:sz="4" w:space="0" w:color="auto"/>
                    <w:bottom w:val="single" w:sz="4" w:space="0" w:color="auto"/>
                    <w:right w:val="single" w:sz="4" w:space="0" w:color="auto"/>
                  </w:tcBorders>
                  <w:shd w:val="clear" w:color="auto" w:fill="auto"/>
                  <w:vAlign w:val="center"/>
                </w:tcPr>
                <w:p w14:paraId="40A5CF26" w14:textId="1EFCC131" w:rsidR="00650BC9" w:rsidRPr="00E94A0D" w:rsidRDefault="00650BC9" w:rsidP="00056AC9">
                  <w:pPr>
                    <w:jc w:val="center"/>
                    <w:rPr>
                      <w:rFonts w:ascii="Times New Roman" w:hAnsi="Times New Roman" w:cs="Times New Roman"/>
                      <w:b/>
                      <w:bCs/>
                      <w:sz w:val="16"/>
                      <w:szCs w:val="16"/>
                    </w:rPr>
                  </w:pPr>
                  <w:r w:rsidRPr="00E94A0D">
                    <w:rPr>
                      <w:rFonts w:ascii="Times New Roman" w:hAnsi="Times New Roman" w:cs="Times New Roman"/>
                      <w:b/>
                      <w:bCs/>
                      <w:sz w:val="16"/>
                      <w:szCs w:val="16"/>
                    </w:rPr>
                    <w:t>4</w:t>
                  </w:r>
                  <w:r w:rsidR="00EC1501">
                    <w:rPr>
                      <w:rFonts w:ascii="Times New Roman" w:hAnsi="Times New Roman" w:cs="Times New Roman"/>
                      <w:b/>
                      <w:bCs/>
                      <w:sz w:val="16"/>
                      <w:szCs w:val="16"/>
                    </w:rPr>
                    <w:t>.</w:t>
                  </w:r>
                  <w:r w:rsidR="0086103E">
                    <w:rPr>
                      <w:rFonts w:ascii="Times New Roman" w:hAnsi="Times New Roman" w:cs="Times New Roman"/>
                      <w:b/>
                      <w:bCs/>
                      <w:sz w:val="16"/>
                      <w:szCs w:val="16"/>
                    </w:rPr>
                    <w:t>158</w:t>
                  </w:r>
                  <w:r w:rsidR="00EC1501">
                    <w:rPr>
                      <w:rFonts w:ascii="Times New Roman" w:hAnsi="Times New Roman" w:cs="Times New Roman"/>
                      <w:b/>
                      <w:bCs/>
                      <w:sz w:val="16"/>
                      <w:szCs w:val="16"/>
                    </w:rPr>
                    <w:t>.</w:t>
                  </w:r>
                  <w:r w:rsidRPr="00E94A0D">
                    <w:rPr>
                      <w:rFonts w:ascii="Times New Roman" w:hAnsi="Times New Roman" w:cs="Times New Roman"/>
                      <w:b/>
                      <w:bCs/>
                      <w:sz w:val="16"/>
                      <w:szCs w:val="16"/>
                    </w:rPr>
                    <w:t>000,00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408C996" w14:textId="0D26C23C" w:rsidR="00650BC9" w:rsidRPr="00E94A0D" w:rsidRDefault="00650BC9" w:rsidP="00056AC9">
                  <w:pPr>
                    <w:jc w:val="center"/>
                    <w:rPr>
                      <w:rFonts w:ascii="Times New Roman" w:hAnsi="Times New Roman" w:cs="Times New Roman"/>
                      <w:b/>
                      <w:bCs/>
                      <w:sz w:val="16"/>
                      <w:szCs w:val="16"/>
                    </w:rPr>
                  </w:pPr>
                  <w:r w:rsidRPr="00E94A0D">
                    <w:rPr>
                      <w:rFonts w:ascii="Times New Roman" w:hAnsi="Times New Roman" w:cs="Times New Roman"/>
                      <w:b/>
                      <w:bCs/>
                      <w:sz w:val="16"/>
                      <w:szCs w:val="16"/>
                    </w:rPr>
                    <w:t>4</w:t>
                  </w:r>
                  <w:r w:rsidR="00EC1501">
                    <w:rPr>
                      <w:rFonts w:ascii="Times New Roman" w:hAnsi="Times New Roman" w:cs="Times New Roman"/>
                      <w:b/>
                      <w:bCs/>
                      <w:sz w:val="16"/>
                      <w:szCs w:val="16"/>
                    </w:rPr>
                    <w:t>.</w:t>
                  </w:r>
                  <w:r w:rsidR="0086103E">
                    <w:rPr>
                      <w:rFonts w:ascii="Times New Roman" w:hAnsi="Times New Roman" w:cs="Times New Roman"/>
                      <w:b/>
                      <w:bCs/>
                      <w:sz w:val="16"/>
                      <w:szCs w:val="16"/>
                    </w:rPr>
                    <w:t>158</w:t>
                  </w:r>
                  <w:r w:rsidR="00EC1501">
                    <w:rPr>
                      <w:rFonts w:ascii="Times New Roman" w:hAnsi="Times New Roman" w:cs="Times New Roman"/>
                      <w:b/>
                      <w:bCs/>
                      <w:sz w:val="16"/>
                      <w:szCs w:val="16"/>
                    </w:rPr>
                    <w:t>.</w:t>
                  </w:r>
                  <w:r w:rsidRPr="00E94A0D">
                    <w:rPr>
                      <w:rFonts w:ascii="Times New Roman" w:hAnsi="Times New Roman" w:cs="Times New Roman"/>
                      <w:b/>
                      <w:bCs/>
                      <w:sz w:val="16"/>
                      <w:szCs w:val="16"/>
                    </w:rPr>
                    <w:t>000,00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02A3EBB" w14:textId="16C98EC2" w:rsidR="00650BC9" w:rsidRPr="00E94A0D" w:rsidRDefault="00650BC9" w:rsidP="00056AC9">
                  <w:pPr>
                    <w:jc w:val="center"/>
                    <w:rPr>
                      <w:rFonts w:ascii="Times New Roman" w:hAnsi="Times New Roman" w:cs="Times New Roman"/>
                      <w:b/>
                      <w:bCs/>
                      <w:sz w:val="16"/>
                      <w:szCs w:val="16"/>
                    </w:rPr>
                  </w:pPr>
                  <w:r w:rsidRPr="00E94A0D">
                    <w:rPr>
                      <w:rFonts w:ascii="Times New Roman" w:hAnsi="Times New Roman" w:cs="Times New Roman"/>
                      <w:b/>
                      <w:bCs/>
                      <w:sz w:val="16"/>
                      <w:szCs w:val="16"/>
                    </w:rPr>
                    <w:t>4</w:t>
                  </w:r>
                  <w:r w:rsidR="00EC1501">
                    <w:rPr>
                      <w:rFonts w:ascii="Times New Roman" w:hAnsi="Times New Roman" w:cs="Times New Roman"/>
                      <w:b/>
                      <w:bCs/>
                      <w:sz w:val="16"/>
                      <w:szCs w:val="16"/>
                    </w:rPr>
                    <w:t>.</w:t>
                  </w:r>
                  <w:r w:rsidR="0086103E">
                    <w:rPr>
                      <w:rFonts w:ascii="Times New Roman" w:hAnsi="Times New Roman" w:cs="Times New Roman"/>
                      <w:b/>
                      <w:bCs/>
                      <w:sz w:val="16"/>
                      <w:szCs w:val="16"/>
                    </w:rPr>
                    <w:t>158</w:t>
                  </w:r>
                  <w:r w:rsidR="00EC1501">
                    <w:rPr>
                      <w:rFonts w:ascii="Times New Roman" w:hAnsi="Times New Roman" w:cs="Times New Roman"/>
                      <w:b/>
                      <w:bCs/>
                      <w:sz w:val="16"/>
                      <w:szCs w:val="16"/>
                    </w:rPr>
                    <w:t>.</w:t>
                  </w:r>
                  <w:r w:rsidRPr="00E94A0D">
                    <w:rPr>
                      <w:rFonts w:ascii="Times New Roman" w:hAnsi="Times New Roman" w:cs="Times New Roman"/>
                      <w:b/>
                      <w:bCs/>
                      <w:sz w:val="16"/>
                      <w:szCs w:val="16"/>
                    </w:rPr>
                    <w:t>000,00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FB57175" w14:textId="011CD61D" w:rsidR="00650BC9" w:rsidRPr="00E94A0D" w:rsidRDefault="00650BC9" w:rsidP="00056AC9">
                  <w:pPr>
                    <w:jc w:val="center"/>
                    <w:rPr>
                      <w:rFonts w:ascii="Times New Roman" w:hAnsi="Times New Roman" w:cs="Times New Roman"/>
                      <w:b/>
                      <w:bCs/>
                      <w:sz w:val="16"/>
                      <w:szCs w:val="16"/>
                    </w:rPr>
                  </w:pPr>
                  <w:r w:rsidRPr="00E94A0D">
                    <w:rPr>
                      <w:rFonts w:ascii="Times New Roman" w:hAnsi="Times New Roman" w:cs="Times New Roman"/>
                      <w:b/>
                      <w:bCs/>
                      <w:sz w:val="16"/>
                      <w:szCs w:val="16"/>
                    </w:rPr>
                    <w:t>4</w:t>
                  </w:r>
                  <w:r w:rsidR="00EC1501">
                    <w:rPr>
                      <w:rFonts w:ascii="Times New Roman" w:hAnsi="Times New Roman" w:cs="Times New Roman"/>
                      <w:b/>
                      <w:bCs/>
                      <w:sz w:val="16"/>
                      <w:szCs w:val="16"/>
                    </w:rPr>
                    <w:t>.</w:t>
                  </w:r>
                  <w:r w:rsidR="0086103E">
                    <w:rPr>
                      <w:rFonts w:ascii="Times New Roman" w:hAnsi="Times New Roman" w:cs="Times New Roman"/>
                      <w:b/>
                      <w:bCs/>
                      <w:sz w:val="16"/>
                      <w:szCs w:val="16"/>
                    </w:rPr>
                    <w:t>158</w:t>
                  </w:r>
                  <w:r w:rsidR="00EC1501">
                    <w:rPr>
                      <w:rFonts w:ascii="Times New Roman" w:hAnsi="Times New Roman" w:cs="Times New Roman"/>
                      <w:b/>
                      <w:bCs/>
                      <w:sz w:val="16"/>
                      <w:szCs w:val="16"/>
                    </w:rPr>
                    <w:t>.</w:t>
                  </w:r>
                  <w:r w:rsidRPr="00E94A0D">
                    <w:rPr>
                      <w:rFonts w:ascii="Times New Roman" w:hAnsi="Times New Roman" w:cs="Times New Roman"/>
                      <w:b/>
                      <w:bCs/>
                      <w:sz w:val="16"/>
                      <w:szCs w:val="16"/>
                    </w:rPr>
                    <w:t>000,00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6ECE9A6D" w14:textId="48558C4E" w:rsidR="00650BC9" w:rsidRPr="00E94A0D" w:rsidRDefault="00650BC9" w:rsidP="00056AC9">
                  <w:pPr>
                    <w:jc w:val="center"/>
                    <w:rPr>
                      <w:rFonts w:ascii="Times New Roman" w:hAnsi="Times New Roman" w:cs="Times New Roman"/>
                      <w:b/>
                      <w:bCs/>
                      <w:sz w:val="16"/>
                      <w:szCs w:val="16"/>
                    </w:rPr>
                  </w:pPr>
                  <w:r w:rsidRPr="00E94A0D">
                    <w:rPr>
                      <w:rFonts w:ascii="Times New Roman" w:hAnsi="Times New Roman" w:cs="Times New Roman"/>
                      <w:b/>
                      <w:bCs/>
                      <w:sz w:val="16"/>
                      <w:szCs w:val="16"/>
                    </w:rPr>
                    <w:t>4</w:t>
                  </w:r>
                  <w:r w:rsidR="00EC1501">
                    <w:rPr>
                      <w:rFonts w:ascii="Times New Roman" w:hAnsi="Times New Roman" w:cs="Times New Roman"/>
                      <w:b/>
                      <w:bCs/>
                      <w:sz w:val="16"/>
                      <w:szCs w:val="16"/>
                    </w:rPr>
                    <w:t>.</w:t>
                  </w:r>
                  <w:r w:rsidR="0086103E">
                    <w:rPr>
                      <w:rFonts w:ascii="Times New Roman" w:hAnsi="Times New Roman" w:cs="Times New Roman"/>
                      <w:b/>
                      <w:bCs/>
                      <w:sz w:val="16"/>
                      <w:szCs w:val="16"/>
                    </w:rPr>
                    <w:t>158</w:t>
                  </w:r>
                  <w:r w:rsidR="00EC1501">
                    <w:rPr>
                      <w:rFonts w:ascii="Times New Roman" w:hAnsi="Times New Roman" w:cs="Times New Roman"/>
                      <w:b/>
                      <w:bCs/>
                      <w:sz w:val="16"/>
                      <w:szCs w:val="16"/>
                    </w:rPr>
                    <w:t>.</w:t>
                  </w:r>
                  <w:r w:rsidRPr="00E94A0D">
                    <w:rPr>
                      <w:rFonts w:ascii="Times New Roman" w:hAnsi="Times New Roman" w:cs="Times New Roman"/>
                      <w:b/>
                      <w:bCs/>
                      <w:sz w:val="16"/>
                      <w:szCs w:val="16"/>
                    </w:rPr>
                    <w:t>000,00</w:t>
                  </w:r>
                </w:p>
              </w:tc>
              <w:tc>
                <w:tcPr>
                  <w:tcW w:w="127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07072A6F" w14:textId="5F04C4AC" w:rsidR="00650BC9" w:rsidRPr="00B5006E" w:rsidRDefault="00DE33B3" w:rsidP="00056AC9">
                  <w:pPr>
                    <w:jc w:val="center"/>
                    <w:rPr>
                      <w:rFonts w:ascii="Times New Roman" w:hAnsi="Times New Roman" w:cs="Times New Roman"/>
                      <w:b/>
                      <w:bCs/>
                      <w:sz w:val="16"/>
                      <w:szCs w:val="16"/>
                    </w:rPr>
                  </w:pPr>
                  <w:r>
                    <w:rPr>
                      <w:rFonts w:ascii="Times New Roman" w:hAnsi="Times New Roman" w:cs="Times New Roman"/>
                      <w:b/>
                      <w:bCs/>
                      <w:sz w:val="16"/>
                      <w:szCs w:val="16"/>
                    </w:rPr>
                    <w:t>20.790.</w:t>
                  </w:r>
                  <w:r w:rsidR="00650BC9" w:rsidRPr="00B5006E">
                    <w:rPr>
                      <w:rFonts w:ascii="Times New Roman" w:hAnsi="Times New Roman" w:cs="Times New Roman"/>
                      <w:b/>
                      <w:bCs/>
                      <w:sz w:val="16"/>
                      <w:szCs w:val="16"/>
                    </w:rPr>
                    <w:t>000,00</w:t>
                  </w:r>
                </w:p>
              </w:tc>
            </w:tr>
          </w:tbl>
          <w:p w14:paraId="76D639BD" w14:textId="323FCBDF" w:rsidR="008C0D26" w:rsidRPr="00E94A0D" w:rsidRDefault="008C0D26" w:rsidP="008C0D26">
            <w:pPr>
              <w:spacing w:before="120" w:after="120"/>
              <w:jc w:val="both"/>
              <w:rPr>
                <w:rFonts w:ascii="Times New Roman" w:hAnsi="Times New Roman" w:cs="Times New Roman"/>
                <w:sz w:val="16"/>
                <w:szCs w:val="16"/>
              </w:rPr>
            </w:pPr>
            <w:r>
              <w:rPr>
                <w:rFonts w:ascii="Times New Roman" w:hAnsi="Times New Roman" w:cs="Times New Roman"/>
                <w:sz w:val="16"/>
                <w:szCs w:val="16"/>
              </w:rPr>
              <w:t>9</w:t>
            </w:r>
            <w:r w:rsidRPr="00E94A0D">
              <w:rPr>
                <w:rFonts w:ascii="Times New Roman" w:hAnsi="Times New Roman" w:cs="Times New Roman"/>
                <w:sz w:val="16"/>
                <w:szCs w:val="16"/>
              </w:rPr>
              <w:t xml:space="preserve">  etatów x 12 m-</w:t>
            </w:r>
            <w:proofErr w:type="spellStart"/>
            <w:r w:rsidRPr="00E94A0D">
              <w:rPr>
                <w:rFonts w:ascii="Times New Roman" w:hAnsi="Times New Roman" w:cs="Times New Roman"/>
                <w:sz w:val="16"/>
                <w:szCs w:val="16"/>
              </w:rPr>
              <w:t>cy</w:t>
            </w:r>
            <w:proofErr w:type="spellEnd"/>
            <w:r w:rsidRPr="00E94A0D">
              <w:rPr>
                <w:rFonts w:ascii="Times New Roman" w:hAnsi="Times New Roman" w:cs="Times New Roman"/>
                <w:sz w:val="16"/>
                <w:szCs w:val="16"/>
              </w:rPr>
              <w:t xml:space="preserve"> x wynagrodzenie zasadnicze na stanowisk</w:t>
            </w:r>
            <w:r>
              <w:rPr>
                <w:rFonts w:ascii="Times New Roman" w:hAnsi="Times New Roman" w:cs="Times New Roman"/>
                <w:sz w:val="16"/>
                <w:szCs w:val="16"/>
              </w:rPr>
              <w:t>ach</w:t>
            </w:r>
            <w:r w:rsidRPr="00E94A0D">
              <w:rPr>
                <w:rFonts w:ascii="Times New Roman" w:hAnsi="Times New Roman" w:cs="Times New Roman"/>
                <w:sz w:val="16"/>
                <w:szCs w:val="16"/>
              </w:rPr>
              <w:t xml:space="preserve"> kierownika projektu </w:t>
            </w:r>
            <w:r>
              <w:rPr>
                <w:rFonts w:ascii="Times New Roman" w:hAnsi="Times New Roman" w:cs="Times New Roman"/>
                <w:sz w:val="16"/>
                <w:szCs w:val="16"/>
              </w:rPr>
              <w:t xml:space="preserve">oraz ekspertów </w:t>
            </w:r>
            <w:r w:rsidRPr="00E94A0D">
              <w:rPr>
                <w:rFonts w:ascii="Times New Roman" w:hAnsi="Times New Roman" w:cs="Times New Roman"/>
                <w:sz w:val="16"/>
                <w:szCs w:val="16"/>
              </w:rPr>
              <w:t xml:space="preserve">(IT Lider, IT Product </w:t>
            </w:r>
            <w:proofErr w:type="spellStart"/>
            <w:r w:rsidRPr="00E94A0D">
              <w:rPr>
                <w:rFonts w:ascii="Times New Roman" w:hAnsi="Times New Roman" w:cs="Times New Roman"/>
                <w:sz w:val="16"/>
                <w:szCs w:val="16"/>
              </w:rPr>
              <w:t>Owner</w:t>
            </w:r>
            <w:proofErr w:type="spellEnd"/>
            <w:r w:rsidRPr="00E94A0D">
              <w:rPr>
                <w:rFonts w:ascii="Times New Roman" w:hAnsi="Times New Roman" w:cs="Times New Roman"/>
                <w:sz w:val="16"/>
                <w:szCs w:val="16"/>
              </w:rPr>
              <w:t>, DEV) wraz z kosztami pracodawcy wg obowiązującego</w:t>
            </w:r>
            <w:r w:rsidR="00DF6752">
              <w:rPr>
                <w:rFonts w:ascii="Times New Roman" w:hAnsi="Times New Roman" w:cs="Times New Roman"/>
                <w:sz w:val="16"/>
                <w:szCs w:val="16"/>
              </w:rPr>
              <w:t xml:space="preserve"> w PAŻP</w:t>
            </w:r>
            <w:r w:rsidRPr="00E94A0D">
              <w:rPr>
                <w:rFonts w:ascii="Times New Roman" w:hAnsi="Times New Roman" w:cs="Times New Roman"/>
                <w:sz w:val="16"/>
                <w:szCs w:val="16"/>
              </w:rPr>
              <w:t xml:space="preserve"> </w:t>
            </w:r>
            <w:r w:rsidR="00DF6752">
              <w:rPr>
                <w:rFonts w:ascii="Times New Roman" w:hAnsi="Times New Roman" w:cs="Times New Roman"/>
                <w:sz w:val="16"/>
                <w:szCs w:val="16"/>
              </w:rPr>
              <w:t>r</w:t>
            </w:r>
            <w:r w:rsidRPr="00E94A0D">
              <w:rPr>
                <w:rFonts w:ascii="Times New Roman" w:hAnsi="Times New Roman" w:cs="Times New Roman"/>
                <w:sz w:val="16"/>
                <w:szCs w:val="16"/>
              </w:rPr>
              <w:t xml:space="preserve">egulaminu </w:t>
            </w:r>
            <w:r w:rsidR="00DF6752">
              <w:rPr>
                <w:rFonts w:ascii="Times New Roman" w:hAnsi="Times New Roman" w:cs="Times New Roman"/>
                <w:sz w:val="16"/>
                <w:szCs w:val="16"/>
              </w:rPr>
              <w:t>wynagradzania.</w:t>
            </w:r>
          </w:p>
          <w:p w14:paraId="212C1FB9" w14:textId="511F821F" w:rsidR="004F41EB" w:rsidRPr="00B5006E" w:rsidRDefault="008C0D26" w:rsidP="008C0D26">
            <w:pPr>
              <w:spacing w:before="120" w:after="120"/>
              <w:jc w:val="both"/>
              <w:rPr>
                <w:rFonts w:ascii="Times New Roman" w:hAnsi="Times New Roman" w:cs="Times New Roman"/>
                <w:sz w:val="16"/>
                <w:szCs w:val="16"/>
              </w:rPr>
            </w:pPr>
            <w:r w:rsidRPr="00E94A0D">
              <w:rPr>
                <w:rFonts w:ascii="Times New Roman" w:hAnsi="Times New Roman" w:cs="Times New Roman"/>
                <w:sz w:val="16"/>
                <w:szCs w:val="16"/>
              </w:rPr>
              <w:t>3</w:t>
            </w:r>
            <w:r>
              <w:rPr>
                <w:rFonts w:ascii="Times New Roman" w:hAnsi="Times New Roman" w:cs="Times New Roman"/>
                <w:sz w:val="16"/>
                <w:szCs w:val="16"/>
              </w:rPr>
              <w:t>.456</w:t>
            </w:r>
            <w:r w:rsidRPr="00E94A0D">
              <w:rPr>
                <w:rFonts w:ascii="Times New Roman" w:hAnsi="Times New Roman" w:cs="Times New Roman"/>
                <w:sz w:val="16"/>
                <w:szCs w:val="16"/>
              </w:rPr>
              <w:t>.</w:t>
            </w:r>
            <w:r>
              <w:rPr>
                <w:rFonts w:ascii="Times New Roman" w:hAnsi="Times New Roman" w:cs="Times New Roman"/>
                <w:sz w:val="16"/>
                <w:szCs w:val="16"/>
              </w:rPr>
              <w:t>000</w:t>
            </w:r>
            <w:r w:rsidRPr="00E94A0D">
              <w:rPr>
                <w:rFonts w:ascii="Times New Roman" w:hAnsi="Times New Roman" w:cs="Times New Roman"/>
                <w:sz w:val="16"/>
                <w:szCs w:val="16"/>
              </w:rPr>
              <w:t xml:space="preserve"> zł wynagrodzenia zasadnicze + </w:t>
            </w:r>
            <w:r>
              <w:rPr>
                <w:rFonts w:ascii="Times New Roman" w:hAnsi="Times New Roman" w:cs="Times New Roman"/>
                <w:sz w:val="16"/>
                <w:szCs w:val="16"/>
              </w:rPr>
              <w:t>702</w:t>
            </w:r>
            <w:r>
              <w:rPr>
                <w:rFonts w:ascii="Times New Roman" w:hAnsi="Times New Roman" w:cs="Times New Roman"/>
                <w:sz w:val="16"/>
                <w:szCs w:val="16"/>
              </w:rPr>
              <w:t>.000</w:t>
            </w:r>
            <w:r w:rsidRPr="00E94A0D">
              <w:rPr>
                <w:rFonts w:ascii="Times New Roman" w:hAnsi="Times New Roman" w:cs="Times New Roman"/>
                <w:sz w:val="16"/>
                <w:szCs w:val="16"/>
              </w:rPr>
              <w:t xml:space="preserve"> zł koszty pracodawcy = </w:t>
            </w:r>
            <w:r>
              <w:rPr>
                <w:rFonts w:ascii="Times New Roman" w:hAnsi="Times New Roman" w:cs="Times New Roman"/>
                <w:sz w:val="16"/>
                <w:szCs w:val="16"/>
              </w:rPr>
              <w:t>4.158</w:t>
            </w:r>
            <w:r w:rsidRPr="00E94A0D">
              <w:rPr>
                <w:rFonts w:ascii="Times New Roman" w:hAnsi="Times New Roman" w:cs="Times New Roman"/>
                <w:sz w:val="16"/>
                <w:szCs w:val="16"/>
              </w:rPr>
              <w:t>.000 zł</w:t>
            </w:r>
          </w:p>
          <w:p w14:paraId="72F425AB" w14:textId="55ADC0B3" w:rsidR="000240CA" w:rsidRPr="0055537F" w:rsidRDefault="000240CA" w:rsidP="008C0D26">
            <w:pPr>
              <w:spacing w:before="120" w:after="120"/>
              <w:jc w:val="both"/>
              <w:rPr>
                <w:rFonts w:ascii="Times New Roman" w:hAnsi="Times New Roman" w:cs="Times New Roman"/>
                <w:sz w:val="16"/>
                <w:szCs w:val="16"/>
                <w:u w:val="single"/>
              </w:rPr>
            </w:pPr>
            <w:r w:rsidRPr="0055537F">
              <w:rPr>
                <w:rFonts w:ascii="Times New Roman" w:hAnsi="Times New Roman" w:cs="Times New Roman"/>
                <w:sz w:val="16"/>
                <w:szCs w:val="16"/>
                <w:u w:val="single"/>
              </w:rPr>
              <w:t xml:space="preserve">Zarządzanie </w:t>
            </w:r>
            <w:r w:rsidR="00B34309" w:rsidRPr="0055537F">
              <w:rPr>
                <w:rFonts w:ascii="Times New Roman" w:hAnsi="Times New Roman" w:cs="Times New Roman"/>
                <w:sz w:val="16"/>
                <w:szCs w:val="16"/>
                <w:u w:val="single"/>
              </w:rPr>
              <w:t>utrzymaniem</w:t>
            </w:r>
          </w:p>
          <w:p w14:paraId="37B57DAE" w14:textId="75EBD111" w:rsidR="00A81ECA" w:rsidRPr="001A4147" w:rsidRDefault="00D25317" w:rsidP="008C0D26">
            <w:pPr>
              <w:spacing w:before="120" w:after="120"/>
              <w:jc w:val="both"/>
              <w:rPr>
                <w:rFonts w:ascii="Times New Roman" w:hAnsi="Times New Roman" w:cs="Times New Roman"/>
                <w:sz w:val="16"/>
                <w:szCs w:val="16"/>
              </w:rPr>
            </w:pPr>
            <w:r w:rsidRPr="0055537F">
              <w:rPr>
                <w:rFonts w:ascii="Times New Roman" w:hAnsi="Times New Roman" w:cs="Times New Roman"/>
                <w:sz w:val="16"/>
                <w:szCs w:val="16"/>
              </w:rPr>
              <w:t>Przewiduje się,</w:t>
            </w:r>
            <w:r w:rsidR="00124EAE" w:rsidRPr="0055537F">
              <w:rPr>
                <w:rFonts w:ascii="Times New Roman" w:hAnsi="Times New Roman" w:cs="Times New Roman"/>
                <w:sz w:val="16"/>
                <w:szCs w:val="16"/>
              </w:rPr>
              <w:t xml:space="preserve"> że w okresie utrzymania trwałości</w:t>
            </w:r>
            <w:r w:rsidRPr="0055537F">
              <w:rPr>
                <w:rFonts w:ascii="Times New Roman" w:hAnsi="Times New Roman" w:cs="Times New Roman"/>
                <w:sz w:val="16"/>
                <w:szCs w:val="16"/>
              </w:rPr>
              <w:t xml:space="preserve"> projektu, niezbędne będzie zapewnienie</w:t>
            </w:r>
            <w:r w:rsidR="00DE3491" w:rsidRPr="0055537F">
              <w:rPr>
                <w:rFonts w:ascii="Times New Roman" w:hAnsi="Times New Roman" w:cs="Times New Roman"/>
                <w:sz w:val="16"/>
                <w:szCs w:val="16"/>
              </w:rPr>
              <w:t xml:space="preserve"> 1 etatu (dzielonego proporcjonalnie między pracowników wg pracochłonności zadań) </w:t>
            </w:r>
            <w:r w:rsidR="00C77D08" w:rsidRPr="0055537F">
              <w:rPr>
                <w:rFonts w:ascii="Times New Roman" w:hAnsi="Times New Roman" w:cs="Times New Roman"/>
                <w:sz w:val="16"/>
                <w:szCs w:val="16"/>
              </w:rPr>
              <w:t>do realizacji zadań związanych z zarządzaniem utrzymani</w:t>
            </w:r>
            <w:r w:rsidR="00B34309" w:rsidRPr="0055537F">
              <w:rPr>
                <w:rFonts w:ascii="Times New Roman" w:hAnsi="Times New Roman" w:cs="Times New Roman"/>
                <w:sz w:val="16"/>
                <w:szCs w:val="16"/>
              </w:rPr>
              <w:t>em</w:t>
            </w:r>
            <w:r w:rsidR="00124EAE" w:rsidRPr="0055537F">
              <w:rPr>
                <w:rFonts w:ascii="Times New Roman" w:hAnsi="Times New Roman" w:cs="Times New Roman"/>
                <w:sz w:val="16"/>
                <w:szCs w:val="16"/>
              </w:rPr>
              <w:t xml:space="preserve"> trwałości</w:t>
            </w:r>
            <w:r w:rsidR="00C77D08" w:rsidRPr="0055537F">
              <w:rPr>
                <w:rFonts w:ascii="Times New Roman" w:hAnsi="Times New Roman" w:cs="Times New Roman"/>
                <w:sz w:val="16"/>
                <w:szCs w:val="16"/>
              </w:rPr>
              <w:t xml:space="preserve"> projektu. Roczny koszt obsługi oszacowano w oparciu o stawki wraz z kosztami pracodawcy zgodne z obowiązującym</w:t>
            </w:r>
            <w:r w:rsidR="008C0D26">
              <w:rPr>
                <w:rFonts w:ascii="Times New Roman" w:hAnsi="Times New Roman" w:cs="Times New Roman"/>
                <w:sz w:val="16"/>
                <w:szCs w:val="16"/>
              </w:rPr>
              <w:t xml:space="preserve"> w</w:t>
            </w:r>
            <w:r w:rsidR="00C77D08" w:rsidRPr="0055537F">
              <w:rPr>
                <w:rFonts w:ascii="Times New Roman" w:hAnsi="Times New Roman" w:cs="Times New Roman"/>
                <w:sz w:val="16"/>
                <w:szCs w:val="16"/>
              </w:rPr>
              <w:t xml:space="preserve"> </w:t>
            </w:r>
            <w:r w:rsidR="008C0D26" w:rsidRPr="0055537F">
              <w:rPr>
                <w:rFonts w:ascii="Times New Roman" w:hAnsi="Times New Roman" w:cs="Times New Roman"/>
                <w:sz w:val="16"/>
                <w:szCs w:val="16"/>
              </w:rPr>
              <w:t>PAŻP</w:t>
            </w:r>
            <w:r w:rsidR="008C0D26" w:rsidRPr="0055537F">
              <w:rPr>
                <w:rFonts w:ascii="Times New Roman" w:hAnsi="Times New Roman" w:cs="Times New Roman"/>
                <w:sz w:val="16"/>
                <w:szCs w:val="16"/>
              </w:rPr>
              <w:t xml:space="preserve"> </w:t>
            </w:r>
            <w:r w:rsidR="00C77D08" w:rsidRPr="0055537F">
              <w:rPr>
                <w:rFonts w:ascii="Times New Roman" w:hAnsi="Times New Roman" w:cs="Times New Roman"/>
                <w:sz w:val="16"/>
                <w:szCs w:val="16"/>
              </w:rPr>
              <w:t>regulaminem wynagradzania na kotwę ok. 400 ty</w:t>
            </w:r>
            <w:r w:rsidR="008C0D26">
              <w:rPr>
                <w:rFonts w:ascii="Times New Roman" w:hAnsi="Times New Roman" w:cs="Times New Roman"/>
                <w:sz w:val="16"/>
                <w:szCs w:val="16"/>
              </w:rPr>
              <w:t>s. zł</w:t>
            </w:r>
            <w:r w:rsidR="00C77D08" w:rsidRPr="0055537F">
              <w:rPr>
                <w:rFonts w:ascii="Times New Roman" w:hAnsi="Times New Roman" w:cs="Times New Roman"/>
                <w:sz w:val="16"/>
                <w:szCs w:val="16"/>
              </w:rPr>
              <w:t>.</w:t>
            </w:r>
            <w:r w:rsidR="006F405E" w:rsidRPr="001A4147">
              <w:rPr>
                <w:rFonts w:ascii="Times New Roman" w:hAnsi="Times New Roman" w:cs="Times New Roman"/>
                <w:sz w:val="16"/>
                <w:szCs w:val="16"/>
              </w:rPr>
              <w:t xml:space="preserve"> </w:t>
            </w:r>
          </w:p>
          <w:p w14:paraId="7D59127C" w14:textId="5D271356" w:rsidR="004F41EB" w:rsidRPr="001A4147" w:rsidRDefault="004F41EB" w:rsidP="00212FA8">
            <w:pPr>
              <w:jc w:val="both"/>
              <w:rPr>
                <w:rFonts w:ascii="Times New Roman" w:hAnsi="Times New Roman" w:cs="Times New Roman"/>
                <w:sz w:val="16"/>
                <w:szCs w:val="16"/>
                <w:u w:val="single"/>
              </w:rPr>
            </w:pPr>
          </w:p>
          <w:tbl>
            <w:tblPr>
              <w:tblStyle w:val="Tabela-Siatka"/>
              <w:tblW w:w="7539" w:type="dxa"/>
              <w:tblLayout w:type="fixed"/>
              <w:tblLook w:val="04A0" w:firstRow="1" w:lastRow="0" w:firstColumn="1" w:lastColumn="0" w:noHBand="0" w:noVBand="1"/>
            </w:tblPr>
            <w:tblGrid>
              <w:gridCol w:w="1257"/>
              <w:gridCol w:w="1222"/>
              <w:gridCol w:w="1222"/>
              <w:gridCol w:w="1370"/>
              <w:gridCol w:w="1193"/>
              <w:gridCol w:w="1275"/>
            </w:tblGrid>
            <w:tr w:rsidR="00E94A0D" w:rsidRPr="001A4147" w14:paraId="662B1CF3" w14:textId="77777777" w:rsidTr="00E94A0D">
              <w:tc>
                <w:tcPr>
                  <w:tcW w:w="1257" w:type="dxa"/>
                  <w:shd w:val="clear" w:color="auto" w:fill="D9D9D9" w:themeFill="background1" w:themeFillShade="D9"/>
                  <w:vAlign w:val="center"/>
                </w:tcPr>
                <w:p w14:paraId="46AF06B3" w14:textId="77777777" w:rsidR="004F41EB" w:rsidRPr="00212FA8" w:rsidRDefault="004F41EB" w:rsidP="00212FA8">
                  <w:pPr>
                    <w:jc w:val="center"/>
                    <w:rPr>
                      <w:rFonts w:ascii="Times New Roman" w:hAnsi="Times New Roman" w:cs="Times New Roman"/>
                      <w:sz w:val="16"/>
                      <w:szCs w:val="16"/>
                    </w:rPr>
                  </w:pPr>
                  <w:r w:rsidRPr="00212FA8">
                    <w:rPr>
                      <w:rFonts w:ascii="Times New Roman" w:hAnsi="Times New Roman" w:cs="Times New Roman"/>
                      <w:b/>
                      <w:bCs/>
                      <w:sz w:val="16"/>
                      <w:szCs w:val="16"/>
                    </w:rPr>
                    <w:t>2024 r.</w:t>
                  </w:r>
                </w:p>
              </w:tc>
              <w:tc>
                <w:tcPr>
                  <w:tcW w:w="1222" w:type="dxa"/>
                  <w:shd w:val="clear" w:color="auto" w:fill="D9D9D9" w:themeFill="background1" w:themeFillShade="D9"/>
                  <w:vAlign w:val="center"/>
                </w:tcPr>
                <w:p w14:paraId="43A0D0FA" w14:textId="77777777" w:rsidR="004F41EB" w:rsidRPr="00212FA8" w:rsidRDefault="004F41EB" w:rsidP="00212FA8">
                  <w:pPr>
                    <w:jc w:val="center"/>
                    <w:rPr>
                      <w:rFonts w:ascii="Times New Roman" w:hAnsi="Times New Roman" w:cs="Times New Roman"/>
                      <w:sz w:val="16"/>
                      <w:szCs w:val="16"/>
                    </w:rPr>
                  </w:pPr>
                  <w:r w:rsidRPr="00212FA8">
                    <w:rPr>
                      <w:rFonts w:ascii="Times New Roman" w:hAnsi="Times New Roman" w:cs="Times New Roman"/>
                      <w:b/>
                      <w:bCs/>
                      <w:sz w:val="16"/>
                      <w:szCs w:val="16"/>
                    </w:rPr>
                    <w:t>2025 r.</w:t>
                  </w:r>
                </w:p>
              </w:tc>
              <w:tc>
                <w:tcPr>
                  <w:tcW w:w="1222" w:type="dxa"/>
                  <w:shd w:val="clear" w:color="auto" w:fill="D9D9D9" w:themeFill="background1" w:themeFillShade="D9"/>
                  <w:vAlign w:val="center"/>
                </w:tcPr>
                <w:p w14:paraId="0B7DD965" w14:textId="77777777" w:rsidR="004F41EB" w:rsidRPr="00212FA8" w:rsidRDefault="004F41EB" w:rsidP="00212FA8">
                  <w:pPr>
                    <w:jc w:val="center"/>
                    <w:rPr>
                      <w:rFonts w:ascii="Times New Roman" w:hAnsi="Times New Roman" w:cs="Times New Roman"/>
                      <w:sz w:val="16"/>
                      <w:szCs w:val="16"/>
                    </w:rPr>
                  </w:pPr>
                  <w:r w:rsidRPr="00212FA8">
                    <w:rPr>
                      <w:rFonts w:ascii="Times New Roman" w:hAnsi="Times New Roman" w:cs="Times New Roman"/>
                      <w:b/>
                      <w:bCs/>
                      <w:sz w:val="16"/>
                      <w:szCs w:val="16"/>
                    </w:rPr>
                    <w:t>2026 r.</w:t>
                  </w:r>
                </w:p>
              </w:tc>
              <w:tc>
                <w:tcPr>
                  <w:tcW w:w="1370" w:type="dxa"/>
                  <w:shd w:val="clear" w:color="auto" w:fill="D9D9D9" w:themeFill="background1" w:themeFillShade="D9"/>
                  <w:vAlign w:val="center"/>
                </w:tcPr>
                <w:p w14:paraId="7609B19C" w14:textId="77777777" w:rsidR="004F41EB" w:rsidRPr="00212FA8" w:rsidRDefault="004F41EB" w:rsidP="00212FA8">
                  <w:pPr>
                    <w:jc w:val="center"/>
                    <w:rPr>
                      <w:rFonts w:ascii="Times New Roman" w:hAnsi="Times New Roman" w:cs="Times New Roman"/>
                      <w:sz w:val="16"/>
                      <w:szCs w:val="16"/>
                    </w:rPr>
                  </w:pPr>
                  <w:r w:rsidRPr="00212FA8">
                    <w:rPr>
                      <w:rFonts w:ascii="Times New Roman" w:hAnsi="Times New Roman" w:cs="Times New Roman"/>
                      <w:b/>
                      <w:bCs/>
                      <w:sz w:val="16"/>
                      <w:szCs w:val="16"/>
                    </w:rPr>
                    <w:t>2027 r.</w:t>
                  </w:r>
                </w:p>
              </w:tc>
              <w:tc>
                <w:tcPr>
                  <w:tcW w:w="1193" w:type="dxa"/>
                  <w:shd w:val="clear" w:color="auto" w:fill="D9D9D9" w:themeFill="background1" w:themeFillShade="D9"/>
                  <w:vAlign w:val="center"/>
                </w:tcPr>
                <w:p w14:paraId="6CEF972B" w14:textId="77777777" w:rsidR="004F41EB" w:rsidRPr="00212FA8" w:rsidRDefault="004F41EB" w:rsidP="00212FA8">
                  <w:pPr>
                    <w:jc w:val="center"/>
                    <w:rPr>
                      <w:rFonts w:ascii="Times New Roman" w:hAnsi="Times New Roman" w:cs="Times New Roman"/>
                      <w:sz w:val="16"/>
                      <w:szCs w:val="16"/>
                    </w:rPr>
                  </w:pPr>
                  <w:r w:rsidRPr="00212FA8">
                    <w:rPr>
                      <w:rFonts w:ascii="Times New Roman" w:hAnsi="Times New Roman" w:cs="Times New Roman"/>
                      <w:b/>
                      <w:bCs/>
                      <w:sz w:val="16"/>
                      <w:szCs w:val="16"/>
                    </w:rPr>
                    <w:t>2028 r.</w:t>
                  </w:r>
                </w:p>
              </w:tc>
              <w:tc>
                <w:tcPr>
                  <w:tcW w:w="1275" w:type="dxa"/>
                  <w:shd w:val="clear" w:color="auto" w:fill="BFBFBF" w:themeFill="background1" w:themeFillShade="BF"/>
                  <w:vAlign w:val="center"/>
                </w:tcPr>
                <w:p w14:paraId="3E87433C" w14:textId="77777777" w:rsidR="004F41EB" w:rsidRPr="00212FA8" w:rsidRDefault="004F41EB" w:rsidP="00212FA8">
                  <w:pPr>
                    <w:jc w:val="center"/>
                    <w:rPr>
                      <w:rFonts w:ascii="Times New Roman" w:hAnsi="Times New Roman" w:cs="Times New Roman"/>
                      <w:sz w:val="16"/>
                      <w:szCs w:val="16"/>
                    </w:rPr>
                  </w:pPr>
                  <w:r w:rsidRPr="00212FA8">
                    <w:rPr>
                      <w:rFonts w:ascii="Times New Roman" w:hAnsi="Times New Roman" w:cs="Times New Roman"/>
                      <w:b/>
                      <w:bCs/>
                      <w:sz w:val="16"/>
                      <w:szCs w:val="16"/>
                    </w:rPr>
                    <w:t>2024-2028</w:t>
                  </w:r>
                </w:p>
              </w:tc>
            </w:tr>
            <w:tr w:rsidR="00B44BE9" w:rsidRPr="001A4147" w14:paraId="48EBE3ED" w14:textId="77777777" w:rsidTr="00E94A0D">
              <w:tc>
                <w:tcPr>
                  <w:tcW w:w="1257" w:type="dxa"/>
                  <w:shd w:val="clear" w:color="auto" w:fill="auto"/>
                  <w:vAlign w:val="center"/>
                </w:tcPr>
                <w:p w14:paraId="1F029369" w14:textId="021778B4" w:rsidR="00C542E9" w:rsidRPr="00E94A0D" w:rsidRDefault="00C542E9" w:rsidP="00212FA8">
                  <w:pPr>
                    <w:jc w:val="center"/>
                    <w:rPr>
                      <w:rFonts w:ascii="Times New Roman" w:hAnsi="Times New Roman" w:cs="Times New Roman"/>
                      <w:b/>
                      <w:bCs/>
                      <w:sz w:val="16"/>
                      <w:szCs w:val="16"/>
                    </w:rPr>
                  </w:pPr>
                  <w:r w:rsidRPr="00E94A0D">
                    <w:rPr>
                      <w:rFonts w:ascii="Times New Roman" w:hAnsi="Times New Roman" w:cs="Times New Roman"/>
                      <w:b/>
                      <w:bCs/>
                      <w:color w:val="000000"/>
                      <w:sz w:val="16"/>
                      <w:szCs w:val="16"/>
                    </w:rPr>
                    <w:t>420</w:t>
                  </w:r>
                  <w:r w:rsidR="00EC1501">
                    <w:rPr>
                      <w:rFonts w:ascii="Times New Roman" w:hAnsi="Times New Roman" w:cs="Times New Roman"/>
                      <w:b/>
                      <w:bCs/>
                      <w:color w:val="000000"/>
                      <w:sz w:val="16"/>
                      <w:szCs w:val="16"/>
                    </w:rPr>
                    <w:t>.</w:t>
                  </w:r>
                  <w:r w:rsidRPr="00E94A0D">
                    <w:rPr>
                      <w:rFonts w:ascii="Times New Roman" w:hAnsi="Times New Roman" w:cs="Times New Roman"/>
                      <w:b/>
                      <w:bCs/>
                      <w:color w:val="000000"/>
                      <w:sz w:val="16"/>
                      <w:szCs w:val="16"/>
                    </w:rPr>
                    <w:t>000,00</w:t>
                  </w:r>
                </w:p>
              </w:tc>
              <w:tc>
                <w:tcPr>
                  <w:tcW w:w="1222" w:type="dxa"/>
                  <w:shd w:val="clear" w:color="auto" w:fill="auto"/>
                  <w:vAlign w:val="center"/>
                </w:tcPr>
                <w:p w14:paraId="40DDE3A8" w14:textId="5A3507A0" w:rsidR="00C542E9" w:rsidRPr="00E94A0D" w:rsidRDefault="00C542E9" w:rsidP="00212FA8">
                  <w:pPr>
                    <w:jc w:val="center"/>
                    <w:rPr>
                      <w:rFonts w:ascii="Times New Roman" w:hAnsi="Times New Roman" w:cs="Times New Roman"/>
                      <w:b/>
                      <w:bCs/>
                      <w:sz w:val="16"/>
                      <w:szCs w:val="16"/>
                    </w:rPr>
                  </w:pPr>
                  <w:r w:rsidRPr="00E94A0D">
                    <w:rPr>
                      <w:rFonts w:ascii="Times New Roman" w:hAnsi="Times New Roman" w:cs="Times New Roman"/>
                      <w:b/>
                      <w:bCs/>
                      <w:color w:val="000000"/>
                      <w:sz w:val="16"/>
                      <w:szCs w:val="16"/>
                    </w:rPr>
                    <w:t>420</w:t>
                  </w:r>
                  <w:r w:rsidR="00EC1501">
                    <w:rPr>
                      <w:rFonts w:ascii="Times New Roman" w:hAnsi="Times New Roman" w:cs="Times New Roman"/>
                      <w:b/>
                      <w:bCs/>
                      <w:color w:val="000000"/>
                      <w:sz w:val="16"/>
                      <w:szCs w:val="16"/>
                    </w:rPr>
                    <w:t>.</w:t>
                  </w:r>
                  <w:r w:rsidRPr="00E94A0D">
                    <w:rPr>
                      <w:rFonts w:ascii="Times New Roman" w:hAnsi="Times New Roman" w:cs="Times New Roman"/>
                      <w:b/>
                      <w:bCs/>
                      <w:color w:val="000000"/>
                      <w:sz w:val="16"/>
                      <w:szCs w:val="16"/>
                    </w:rPr>
                    <w:t>000,00</w:t>
                  </w:r>
                </w:p>
              </w:tc>
              <w:tc>
                <w:tcPr>
                  <w:tcW w:w="1222" w:type="dxa"/>
                  <w:shd w:val="clear" w:color="auto" w:fill="auto"/>
                  <w:vAlign w:val="center"/>
                </w:tcPr>
                <w:p w14:paraId="1B738CEF" w14:textId="250D74BC" w:rsidR="00C542E9" w:rsidRPr="00E94A0D" w:rsidRDefault="00C542E9" w:rsidP="00212FA8">
                  <w:pPr>
                    <w:jc w:val="center"/>
                    <w:rPr>
                      <w:rFonts w:ascii="Times New Roman" w:hAnsi="Times New Roman" w:cs="Times New Roman"/>
                      <w:b/>
                      <w:bCs/>
                      <w:sz w:val="16"/>
                      <w:szCs w:val="16"/>
                    </w:rPr>
                  </w:pPr>
                  <w:r w:rsidRPr="00E94A0D">
                    <w:rPr>
                      <w:rFonts w:ascii="Times New Roman" w:hAnsi="Times New Roman" w:cs="Times New Roman"/>
                      <w:b/>
                      <w:bCs/>
                      <w:color w:val="000000"/>
                      <w:sz w:val="16"/>
                      <w:szCs w:val="16"/>
                    </w:rPr>
                    <w:t>420</w:t>
                  </w:r>
                  <w:r w:rsidR="00EC1501">
                    <w:rPr>
                      <w:rFonts w:ascii="Times New Roman" w:hAnsi="Times New Roman" w:cs="Times New Roman"/>
                      <w:b/>
                      <w:bCs/>
                      <w:color w:val="000000"/>
                      <w:sz w:val="16"/>
                      <w:szCs w:val="16"/>
                    </w:rPr>
                    <w:t>.</w:t>
                  </w:r>
                  <w:r w:rsidRPr="00E94A0D">
                    <w:rPr>
                      <w:rFonts w:ascii="Times New Roman" w:hAnsi="Times New Roman" w:cs="Times New Roman"/>
                      <w:b/>
                      <w:bCs/>
                      <w:color w:val="000000"/>
                      <w:sz w:val="16"/>
                      <w:szCs w:val="16"/>
                    </w:rPr>
                    <w:t>000,00</w:t>
                  </w:r>
                </w:p>
              </w:tc>
              <w:tc>
                <w:tcPr>
                  <w:tcW w:w="1370" w:type="dxa"/>
                  <w:shd w:val="clear" w:color="auto" w:fill="auto"/>
                  <w:vAlign w:val="center"/>
                </w:tcPr>
                <w:p w14:paraId="3AF26BB1" w14:textId="2150BB0E" w:rsidR="00C542E9" w:rsidRPr="00E94A0D" w:rsidRDefault="00C542E9" w:rsidP="00212FA8">
                  <w:pPr>
                    <w:jc w:val="center"/>
                    <w:rPr>
                      <w:rFonts w:ascii="Times New Roman" w:hAnsi="Times New Roman" w:cs="Times New Roman"/>
                      <w:b/>
                      <w:bCs/>
                      <w:sz w:val="16"/>
                      <w:szCs w:val="16"/>
                    </w:rPr>
                  </w:pPr>
                  <w:r w:rsidRPr="00E94A0D">
                    <w:rPr>
                      <w:rFonts w:ascii="Times New Roman" w:hAnsi="Times New Roman" w:cs="Times New Roman"/>
                      <w:b/>
                      <w:bCs/>
                      <w:color w:val="000000"/>
                      <w:sz w:val="16"/>
                      <w:szCs w:val="16"/>
                    </w:rPr>
                    <w:t>420</w:t>
                  </w:r>
                  <w:r w:rsidR="00EC1501">
                    <w:rPr>
                      <w:rFonts w:ascii="Times New Roman" w:hAnsi="Times New Roman" w:cs="Times New Roman"/>
                      <w:b/>
                      <w:bCs/>
                      <w:color w:val="000000"/>
                      <w:sz w:val="16"/>
                      <w:szCs w:val="16"/>
                    </w:rPr>
                    <w:t>.</w:t>
                  </w:r>
                  <w:r w:rsidRPr="00E94A0D">
                    <w:rPr>
                      <w:rFonts w:ascii="Times New Roman" w:hAnsi="Times New Roman" w:cs="Times New Roman"/>
                      <w:b/>
                      <w:bCs/>
                      <w:color w:val="000000"/>
                      <w:sz w:val="16"/>
                      <w:szCs w:val="16"/>
                    </w:rPr>
                    <w:t>000,00</w:t>
                  </w:r>
                </w:p>
              </w:tc>
              <w:tc>
                <w:tcPr>
                  <w:tcW w:w="1193" w:type="dxa"/>
                  <w:shd w:val="clear" w:color="auto" w:fill="auto"/>
                  <w:vAlign w:val="center"/>
                </w:tcPr>
                <w:p w14:paraId="011A27FE" w14:textId="6A4D68B2" w:rsidR="00C542E9" w:rsidRPr="00E94A0D" w:rsidRDefault="00C542E9" w:rsidP="00212FA8">
                  <w:pPr>
                    <w:jc w:val="center"/>
                    <w:rPr>
                      <w:rFonts w:ascii="Times New Roman" w:hAnsi="Times New Roman" w:cs="Times New Roman"/>
                      <w:b/>
                      <w:bCs/>
                      <w:sz w:val="16"/>
                      <w:szCs w:val="16"/>
                    </w:rPr>
                  </w:pPr>
                  <w:r w:rsidRPr="00E94A0D">
                    <w:rPr>
                      <w:rFonts w:ascii="Times New Roman" w:hAnsi="Times New Roman" w:cs="Times New Roman"/>
                      <w:b/>
                      <w:bCs/>
                      <w:color w:val="000000"/>
                      <w:sz w:val="16"/>
                      <w:szCs w:val="16"/>
                    </w:rPr>
                    <w:t>420</w:t>
                  </w:r>
                  <w:r w:rsidR="00EC1501">
                    <w:rPr>
                      <w:rFonts w:ascii="Times New Roman" w:hAnsi="Times New Roman" w:cs="Times New Roman"/>
                      <w:b/>
                      <w:bCs/>
                      <w:color w:val="000000"/>
                      <w:sz w:val="16"/>
                      <w:szCs w:val="16"/>
                    </w:rPr>
                    <w:t>.</w:t>
                  </w:r>
                  <w:r w:rsidRPr="00E94A0D">
                    <w:rPr>
                      <w:rFonts w:ascii="Times New Roman" w:hAnsi="Times New Roman" w:cs="Times New Roman"/>
                      <w:b/>
                      <w:bCs/>
                      <w:color w:val="000000"/>
                      <w:sz w:val="16"/>
                      <w:szCs w:val="16"/>
                    </w:rPr>
                    <w:t>000,00</w:t>
                  </w:r>
                </w:p>
              </w:tc>
              <w:tc>
                <w:tcPr>
                  <w:tcW w:w="1275" w:type="dxa"/>
                  <w:shd w:val="clear" w:color="auto" w:fill="BFBFBF" w:themeFill="background1" w:themeFillShade="BF"/>
                  <w:vAlign w:val="center"/>
                </w:tcPr>
                <w:p w14:paraId="637CE1B6" w14:textId="3FEE2D6E" w:rsidR="00C542E9" w:rsidRPr="001A4147" w:rsidRDefault="00C542E9" w:rsidP="00212FA8">
                  <w:pPr>
                    <w:jc w:val="center"/>
                    <w:rPr>
                      <w:rFonts w:ascii="Times New Roman" w:hAnsi="Times New Roman" w:cs="Times New Roman"/>
                      <w:b/>
                      <w:bCs/>
                      <w:sz w:val="16"/>
                      <w:szCs w:val="16"/>
                    </w:rPr>
                  </w:pPr>
                  <w:r w:rsidRPr="001A4147">
                    <w:rPr>
                      <w:rFonts w:ascii="Times New Roman" w:hAnsi="Times New Roman" w:cs="Times New Roman"/>
                      <w:b/>
                      <w:bCs/>
                      <w:sz w:val="16"/>
                      <w:szCs w:val="16"/>
                    </w:rPr>
                    <w:t>2</w:t>
                  </w:r>
                  <w:r w:rsidR="00EC1501">
                    <w:rPr>
                      <w:rFonts w:ascii="Times New Roman" w:hAnsi="Times New Roman" w:cs="Times New Roman"/>
                      <w:b/>
                      <w:bCs/>
                      <w:sz w:val="16"/>
                      <w:szCs w:val="16"/>
                    </w:rPr>
                    <w:t>.</w:t>
                  </w:r>
                  <w:r w:rsidRPr="001A4147">
                    <w:rPr>
                      <w:rFonts w:ascii="Times New Roman" w:hAnsi="Times New Roman" w:cs="Times New Roman"/>
                      <w:b/>
                      <w:bCs/>
                      <w:sz w:val="16"/>
                      <w:szCs w:val="16"/>
                    </w:rPr>
                    <w:t>100</w:t>
                  </w:r>
                  <w:r w:rsidR="00EC1501">
                    <w:rPr>
                      <w:rFonts w:ascii="Times New Roman" w:hAnsi="Times New Roman" w:cs="Times New Roman"/>
                      <w:b/>
                      <w:bCs/>
                      <w:sz w:val="16"/>
                      <w:szCs w:val="16"/>
                    </w:rPr>
                    <w:t>.</w:t>
                  </w:r>
                  <w:r w:rsidRPr="001A4147">
                    <w:rPr>
                      <w:rFonts w:ascii="Times New Roman" w:hAnsi="Times New Roman" w:cs="Times New Roman"/>
                      <w:b/>
                      <w:bCs/>
                      <w:sz w:val="16"/>
                      <w:szCs w:val="16"/>
                    </w:rPr>
                    <w:t>000,00</w:t>
                  </w:r>
                </w:p>
              </w:tc>
            </w:tr>
          </w:tbl>
          <w:p w14:paraId="2CB98DDD" w14:textId="0C35FF4C" w:rsidR="008C0D26" w:rsidRPr="001A4147" w:rsidRDefault="008C0D26" w:rsidP="008C0D26">
            <w:pPr>
              <w:spacing w:before="120" w:after="120"/>
              <w:jc w:val="both"/>
              <w:rPr>
                <w:rFonts w:ascii="Times New Roman" w:hAnsi="Times New Roman" w:cs="Times New Roman"/>
                <w:sz w:val="16"/>
                <w:szCs w:val="16"/>
              </w:rPr>
            </w:pPr>
            <w:r w:rsidRPr="001A4147">
              <w:rPr>
                <w:rFonts w:ascii="Times New Roman" w:hAnsi="Times New Roman" w:cs="Times New Roman"/>
                <w:sz w:val="16"/>
                <w:szCs w:val="16"/>
              </w:rPr>
              <w:t>0,5 etatu x 12 m-</w:t>
            </w:r>
            <w:proofErr w:type="spellStart"/>
            <w:r w:rsidRPr="001A4147">
              <w:rPr>
                <w:rFonts w:ascii="Times New Roman" w:hAnsi="Times New Roman" w:cs="Times New Roman"/>
                <w:sz w:val="16"/>
                <w:szCs w:val="16"/>
              </w:rPr>
              <w:t>cy</w:t>
            </w:r>
            <w:proofErr w:type="spellEnd"/>
            <w:r w:rsidRPr="001A4147">
              <w:rPr>
                <w:rFonts w:ascii="Times New Roman" w:hAnsi="Times New Roman" w:cs="Times New Roman"/>
                <w:sz w:val="16"/>
                <w:szCs w:val="16"/>
              </w:rPr>
              <w:t xml:space="preserve"> x wynagrodzenie zasadnicze na stanowisku kierownika programu (stanowisko kierownicze) wraz z kosztami pracodawcy wg obowiązującego </w:t>
            </w:r>
            <w:r>
              <w:rPr>
                <w:rFonts w:ascii="Times New Roman" w:hAnsi="Times New Roman" w:cs="Times New Roman"/>
                <w:sz w:val="16"/>
                <w:szCs w:val="16"/>
              </w:rPr>
              <w:t>w PAŻP r</w:t>
            </w:r>
            <w:r w:rsidRPr="001A4147">
              <w:rPr>
                <w:rFonts w:ascii="Times New Roman" w:hAnsi="Times New Roman" w:cs="Times New Roman"/>
                <w:sz w:val="16"/>
                <w:szCs w:val="16"/>
              </w:rPr>
              <w:t xml:space="preserve">egulaminu </w:t>
            </w:r>
            <w:r>
              <w:rPr>
                <w:rFonts w:ascii="Times New Roman" w:hAnsi="Times New Roman" w:cs="Times New Roman"/>
                <w:sz w:val="16"/>
                <w:szCs w:val="16"/>
              </w:rPr>
              <w:t>wynagradzania.</w:t>
            </w:r>
          </w:p>
          <w:p w14:paraId="5860794F" w14:textId="30430E1F" w:rsidR="008C0D26" w:rsidRDefault="008C0D26" w:rsidP="008C0D26">
            <w:pPr>
              <w:spacing w:before="120" w:after="120"/>
              <w:jc w:val="both"/>
              <w:rPr>
                <w:rFonts w:ascii="Times New Roman" w:hAnsi="Times New Roman" w:cs="Times New Roman"/>
                <w:sz w:val="16"/>
                <w:szCs w:val="16"/>
              </w:rPr>
            </w:pPr>
            <w:r w:rsidRPr="001A4147">
              <w:rPr>
                <w:rFonts w:ascii="Times New Roman" w:hAnsi="Times New Roman" w:cs="Times New Roman"/>
                <w:sz w:val="16"/>
                <w:szCs w:val="16"/>
              </w:rPr>
              <w:t xml:space="preserve">Łącznie: </w:t>
            </w:r>
            <w:r>
              <w:rPr>
                <w:rFonts w:ascii="Times New Roman" w:hAnsi="Times New Roman" w:cs="Times New Roman"/>
                <w:sz w:val="16"/>
                <w:szCs w:val="16"/>
              </w:rPr>
              <w:t>180.000</w:t>
            </w:r>
            <w:r w:rsidRPr="001A4147">
              <w:rPr>
                <w:rFonts w:ascii="Times New Roman" w:hAnsi="Times New Roman" w:cs="Times New Roman"/>
                <w:sz w:val="16"/>
                <w:szCs w:val="16"/>
              </w:rPr>
              <w:t xml:space="preserve"> zł wyna</w:t>
            </w:r>
            <w:r>
              <w:rPr>
                <w:rFonts w:ascii="Times New Roman" w:hAnsi="Times New Roman" w:cs="Times New Roman"/>
                <w:sz w:val="16"/>
                <w:szCs w:val="16"/>
              </w:rPr>
              <w:t>grodzenie zasadnicze + 45.000</w:t>
            </w:r>
            <w:r w:rsidRPr="001A4147">
              <w:rPr>
                <w:rFonts w:ascii="Times New Roman" w:hAnsi="Times New Roman" w:cs="Times New Roman"/>
                <w:sz w:val="16"/>
                <w:szCs w:val="16"/>
              </w:rPr>
              <w:t xml:space="preserve"> zł koszty pracodawcy = 225.000 zł</w:t>
            </w:r>
          </w:p>
          <w:p w14:paraId="695E3DBB" w14:textId="0C8A5858" w:rsidR="008C0D26" w:rsidRPr="001A4147" w:rsidRDefault="008C0D26" w:rsidP="008C0D26">
            <w:pPr>
              <w:spacing w:before="120" w:after="120"/>
              <w:jc w:val="both"/>
              <w:rPr>
                <w:rFonts w:ascii="Times New Roman" w:hAnsi="Times New Roman" w:cs="Times New Roman"/>
                <w:sz w:val="16"/>
                <w:szCs w:val="16"/>
              </w:rPr>
            </w:pPr>
            <w:r w:rsidRPr="001A4147">
              <w:rPr>
                <w:rFonts w:ascii="Times New Roman" w:hAnsi="Times New Roman" w:cs="Times New Roman"/>
                <w:sz w:val="16"/>
                <w:szCs w:val="16"/>
              </w:rPr>
              <w:t>0,5 etatu x 12 m-</w:t>
            </w:r>
            <w:proofErr w:type="spellStart"/>
            <w:r w:rsidRPr="001A4147">
              <w:rPr>
                <w:rFonts w:ascii="Times New Roman" w:hAnsi="Times New Roman" w:cs="Times New Roman"/>
                <w:sz w:val="16"/>
                <w:szCs w:val="16"/>
              </w:rPr>
              <w:t>cy</w:t>
            </w:r>
            <w:proofErr w:type="spellEnd"/>
            <w:r w:rsidRPr="001A4147">
              <w:rPr>
                <w:rFonts w:ascii="Times New Roman" w:hAnsi="Times New Roman" w:cs="Times New Roman"/>
                <w:sz w:val="16"/>
                <w:szCs w:val="16"/>
              </w:rPr>
              <w:t xml:space="preserve"> x wynagrodzenie zasadnicze na stanowisku kierownika projektu (stanowisko kierownicze) wraz z kosztami pracodawcy wg obowiązującego </w:t>
            </w:r>
            <w:r>
              <w:rPr>
                <w:rFonts w:ascii="Times New Roman" w:hAnsi="Times New Roman" w:cs="Times New Roman"/>
                <w:sz w:val="16"/>
                <w:szCs w:val="16"/>
              </w:rPr>
              <w:t>w PAŻP r</w:t>
            </w:r>
            <w:r w:rsidRPr="001A4147">
              <w:rPr>
                <w:rFonts w:ascii="Times New Roman" w:hAnsi="Times New Roman" w:cs="Times New Roman"/>
                <w:sz w:val="16"/>
                <w:szCs w:val="16"/>
              </w:rPr>
              <w:t>egulaminu</w:t>
            </w:r>
            <w:r>
              <w:rPr>
                <w:rFonts w:ascii="Times New Roman" w:hAnsi="Times New Roman" w:cs="Times New Roman"/>
                <w:sz w:val="16"/>
                <w:szCs w:val="16"/>
              </w:rPr>
              <w:t xml:space="preserve"> w</w:t>
            </w:r>
            <w:r w:rsidRPr="001A4147">
              <w:rPr>
                <w:rFonts w:ascii="Times New Roman" w:hAnsi="Times New Roman" w:cs="Times New Roman"/>
                <w:sz w:val="16"/>
                <w:szCs w:val="16"/>
              </w:rPr>
              <w:t>ynagradzania</w:t>
            </w:r>
            <w:r>
              <w:rPr>
                <w:rFonts w:ascii="Times New Roman" w:hAnsi="Times New Roman" w:cs="Times New Roman"/>
                <w:sz w:val="16"/>
                <w:szCs w:val="16"/>
              </w:rPr>
              <w:t>.</w:t>
            </w:r>
          </w:p>
          <w:p w14:paraId="5B863513" w14:textId="46B65534" w:rsidR="004F41EB" w:rsidRPr="00B5006E" w:rsidRDefault="008C0D26" w:rsidP="008C0D26">
            <w:pPr>
              <w:spacing w:before="120" w:after="120"/>
              <w:jc w:val="both"/>
              <w:rPr>
                <w:rFonts w:ascii="Times New Roman" w:hAnsi="Times New Roman" w:cs="Times New Roman"/>
                <w:sz w:val="16"/>
                <w:szCs w:val="16"/>
                <w:u w:val="single"/>
              </w:rPr>
            </w:pPr>
            <w:r w:rsidRPr="001A4147">
              <w:rPr>
                <w:rFonts w:ascii="Times New Roman" w:hAnsi="Times New Roman" w:cs="Times New Roman"/>
                <w:sz w:val="16"/>
                <w:szCs w:val="16"/>
              </w:rPr>
              <w:t>Łącznie: 150.000 zł wyna</w:t>
            </w:r>
            <w:r>
              <w:rPr>
                <w:rFonts w:ascii="Times New Roman" w:hAnsi="Times New Roman" w:cs="Times New Roman"/>
                <w:sz w:val="16"/>
                <w:szCs w:val="16"/>
              </w:rPr>
              <w:t>grodzenie zasadnicze + 45.000</w:t>
            </w:r>
            <w:r w:rsidRPr="001A4147">
              <w:rPr>
                <w:rFonts w:ascii="Times New Roman" w:hAnsi="Times New Roman" w:cs="Times New Roman"/>
                <w:sz w:val="16"/>
                <w:szCs w:val="16"/>
              </w:rPr>
              <w:t xml:space="preserve"> zł koszty pracodawcy = 195.000 zł</w:t>
            </w:r>
          </w:p>
          <w:p w14:paraId="6C20025D" w14:textId="060C234E" w:rsidR="00791E46" w:rsidRPr="0055537F" w:rsidRDefault="00791E46" w:rsidP="008C0D26">
            <w:pPr>
              <w:spacing w:before="120" w:after="120"/>
              <w:jc w:val="both"/>
              <w:rPr>
                <w:rFonts w:ascii="Times New Roman" w:hAnsi="Times New Roman" w:cs="Times New Roman"/>
                <w:sz w:val="16"/>
                <w:szCs w:val="16"/>
                <w:u w:val="single"/>
              </w:rPr>
            </w:pPr>
            <w:r w:rsidRPr="0055537F">
              <w:rPr>
                <w:rFonts w:ascii="Times New Roman" w:hAnsi="Times New Roman" w:cs="Times New Roman"/>
                <w:sz w:val="16"/>
                <w:szCs w:val="16"/>
                <w:u w:val="single"/>
              </w:rPr>
              <w:t>Helpdesk</w:t>
            </w:r>
          </w:p>
          <w:p w14:paraId="45866D90" w14:textId="745DF8C5" w:rsidR="00122149" w:rsidRPr="0055537F" w:rsidRDefault="00A10E31" w:rsidP="008C0D26">
            <w:pPr>
              <w:spacing w:before="120" w:after="120"/>
              <w:jc w:val="both"/>
              <w:rPr>
                <w:rFonts w:ascii="Times New Roman" w:hAnsi="Times New Roman" w:cs="Times New Roman"/>
                <w:sz w:val="16"/>
                <w:szCs w:val="16"/>
              </w:rPr>
            </w:pPr>
            <w:r w:rsidRPr="0055537F">
              <w:rPr>
                <w:rFonts w:ascii="Times New Roman" w:hAnsi="Times New Roman" w:cs="Times New Roman"/>
                <w:sz w:val="16"/>
                <w:szCs w:val="16"/>
              </w:rPr>
              <w:t>Przewiduje się,</w:t>
            </w:r>
            <w:r w:rsidR="00124EAE" w:rsidRPr="0055537F">
              <w:rPr>
                <w:rFonts w:ascii="Times New Roman" w:hAnsi="Times New Roman" w:cs="Times New Roman"/>
                <w:sz w:val="16"/>
                <w:szCs w:val="16"/>
              </w:rPr>
              <w:t xml:space="preserve"> że w okresie utrzymania trwałości</w:t>
            </w:r>
            <w:r w:rsidRPr="0055537F">
              <w:rPr>
                <w:rFonts w:ascii="Times New Roman" w:hAnsi="Times New Roman" w:cs="Times New Roman"/>
                <w:sz w:val="16"/>
                <w:szCs w:val="16"/>
              </w:rPr>
              <w:t xml:space="preserve"> projektów, </w:t>
            </w:r>
            <w:r w:rsidR="00D01D2F" w:rsidRPr="0055537F">
              <w:rPr>
                <w:rFonts w:ascii="Times New Roman" w:hAnsi="Times New Roman" w:cs="Times New Roman"/>
                <w:sz w:val="16"/>
                <w:szCs w:val="16"/>
              </w:rPr>
              <w:t xml:space="preserve">niezbędne będzie zapewnienie </w:t>
            </w:r>
            <w:r w:rsidR="00122149" w:rsidRPr="0055537F">
              <w:rPr>
                <w:rFonts w:ascii="Times New Roman" w:hAnsi="Times New Roman" w:cs="Times New Roman"/>
                <w:sz w:val="16"/>
                <w:szCs w:val="16"/>
              </w:rPr>
              <w:t xml:space="preserve">ok. </w:t>
            </w:r>
            <w:r w:rsidR="00A96846" w:rsidRPr="0055537F">
              <w:rPr>
                <w:rFonts w:ascii="Times New Roman" w:hAnsi="Times New Roman" w:cs="Times New Roman"/>
                <w:sz w:val="16"/>
                <w:szCs w:val="16"/>
              </w:rPr>
              <w:t>5</w:t>
            </w:r>
            <w:r w:rsidR="00122149" w:rsidRPr="0055537F">
              <w:rPr>
                <w:rFonts w:ascii="Times New Roman" w:hAnsi="Times New Roman" w:cs="Times New Roman"/>
                <w:sz w:val="16"/>
                <w:szCs w:val="16"/>
              </w:rPr>
              <w:t xml:space="preserve"> etatów </w:t>
            </w:r>
            <w:r w:rsidR="00404EF9" w:rsidRPr="0055537F">
              <w:rPr>
                <w:rFonts w:ascii="Times New Roman" w:hAnsi="Times New Roman" w:cs="Times New Roman"/>
                <w:sz w:val="16"/>
                <w:szCs w:val="16"/>
              </w:rPr>
              <w:t xml:space="preserve">do obsługi </w:t>
            </w:r>
            <w:proofErr w:type="spellStart"/>
            <w:r w:rsidR="00404EF9" w:rsidRPr="0055537F">
              <w:rPr>
                <w:rFonts w:ascii="Times New Roman" w:hAnsi="Times New Roman" w:cs="Times New Roman"/>
                <w:sz w:val="16"/>
                <w:szCs w:val="16"/>
              </w:rPr>
              <w:t>call</w:t>
            </w:r>
            <w:proofErr w:type="spellEnd"/>
            <w:r w:rsidR="00404EF9" w:rsidRPr="0055537F">
              <w:rPr>
                <w:rFonts w:ascii="Times New Roman" w:hAnsi="Times New Roman" w:cs="Times New Roman"/>
                <w:sz w:val="16"/>
                <w:szCs w:val="16"/>
              </w:rPr>
              <w:t xml:space="preserve"> </w:t>
            </w:r>
            <w:proofErr w:type="spellStart"/>
            <w:r w:rsidR="00404EF9" w:rsidRPr="0055537F">
              <w:rPr>
                <w:rFonts w:ascii="Times New Roman" w:hAnsi="Times New Roman" w:cs="Times New Roman"/>
                <w:sz w:val="16"/>
                <w:szCs w:val="16"/>
              </w:rPr>
              <w:t>center</w:t>
            </w:r>
            <w:proofErr w:type="spellEnd"/>
            <w:r w:rsidR="00404EF9" w:rsidRPr="0055537F">
              <w:rPr>
                <w:rFonts w:ascii="Times New Roman" w:hAnsi="Times New Roman" w:cs="Times New Roman"/>
                <w:sz w:val="16"/>
                <w:szCs w:val="16"/>
              </w:rPr>
              <w:t xml:space="preserve"> – z uwagi na zagadnienia stricte </w:t>
            </w:r>
            <w:r w:rsidR="000140E7" w:rsidRPr="0055537F">
              <w:rPr>
                <w:rFonts w:ascii="Times New Roman" w:hAnsi="Times New Roman" w:cs="Times New Roman"/>
                <w:sz w:val="16"/>
                <w:szCs w:val="16"/>
              </w:rPr>
              <w:t>merytoryczne</w:t>
            </w:r>
            <w:r w:rsidR="00F5512E" w:rsidRPr="0055537F">
              <w:rPr>
                <w:rFonts w:ascii="Times New Roman" w:hAnsi="Times New Roman" w:cs="Times New Roman"/>
                <w:sz w:val="16"/>
                <w:szCs w:val="16"/>
              </w:rPr>
              <w:t xml:space="preserve"> realizacja </w:t>
            </w:r>
            <w:r w:rsidR="00B34309" w:rsidRPr="0055537F">
              <w:rPr>
                <w:rFonts w:ascii="Times New Roman" w:hAnsi="Times New Roman" w:cs="Times New Roman"/>
                <w:sz w:val="16"/>
                <w:szCs w:val="16"/>
              </w:rPr>
              <w:t>przez pracowników</w:t>
            </w:r>
            <w:r w:rsidR="00F5512E" w:rsidRPr="0055537F">
              <w:rPr>
                <w:rFonts w:ascii="Times New Roman" w:hAnsi="Times New Roman" w:cs="Times New Roman"/>
                <w:sz w:val="16"/>
                <w:szCs w:val="16"/>
              </w:rPr>
              <w:t xml:space="preserve"> PAŻP</w:t>
            </w:r>
            <w:r w:rsidR="004F53E1" w:rsidRPr="0055537F">
              <w:rPr>
                <w:rFonts w:ascii="Times New Roman" w:hAnsi="Times New Roman" w:cs="Times New Roman"/>
                <w:sz w:val="16"/>
                <w:szCs w:val="16"/>
              </w:rPr>
              <w:t xml:space="preserve"> (poziom młodszego specjalisty/ specjalisty)</w:t>
            </w:r>
            <w:r w:rsidR="00F5512E" w:rsidRPr="0055537F">
              <w:rPr>
                <w:rFonts w:ascii="Times New Roman" w:hAnsi="Times New Roman" w:cs="Times New Roman"/>
                <w:sz w:val="16"/>
                <w:szCs w:val="16"/>
              </w:rPr>
              <w:t xml:space="preserve">. </w:t>
            </w:r>
            <w:r w:rsidR="002C0ADE" w:rsidRPr="0055537F">
              <w:rPr>
                <w:rFonts w:ascii="Times New Roman" w:hAnsi="Times New Roman" w:cs="Times New Roman"/>
                <w:sz w:val="16"/>
                <w:szCs w:val="16"/>
              </w:rPr>
              <w:t xml:space="preserve">Roczny koszt obsługi </w:t>
            </w:r>
            <w:r w:rsidR="00AD6284" w:rsidRPr="0055537F">
              <w:rPr>
                <w:rFonts w:ascii="Times New Roman" w:hAnsi="Times New Roman" w:cs="Times New Roman"/>
                <w:sz w:val="16"/>
                <w:szCs w:val="16"/>
              </w:rPr>
              <w:t xml:space="preserve">przez pracowników </w:t>
            </w:r>
            <w:r w:rsidR="002C0ADE" w:rsidRPr="0055537F">
              <w:rPr>
                <w:rFonts w:ascii="Times New Roman" w:hAnsi="Times New Roman" w:cs="Times New Roman"/>
                <w:sz w:val="16"/>
                <w:szCs w:val="16"/>
              </w:rPr>
              <w:t>oszacowano w oparciu o stawki wraz z kosztami pracodawcy zgodne z obowiązującym</w:t>
            </w:r>
            <w:r w:rsidR="00DF6752">
              <w:rPr>
                <w:rFonts w:ascii="Times New Roman" w:hAnsi="Times New Roman" w:cs="Times New Roman"/>
                <w:sz w:val="16"/>
                <w:szCs w:val="16"/>
              </w:rPr>
              <w:t xml:space="preserve"> w PAŻP</w:t>
            </w:r>
            <w:r w:rsidR="002C0ADE" w:rsidRPr="0055537F">
              <w:rPr>
                <w:rFonts w:ascii="Times New Roman" w:hAnsi="Times New Roman" w:cs="Times New Roman"/>
                <w:sz w:val="16"/>
                <w:szCs w:val="16"/>
              </w:rPr>
              <w:t xml:space="preserve"> regulaminem wynagradzania na kotwę ok. </w:t>
            </w:r>
            <w:r w:rsidR="008C0D26">
              <w:rPr>
                <w:rFonts w:ascii="Times New Roman" w:hAnsi="Times New Roman" w:cs="Times New Roman"/>
                <w:sz w:val="16"/>
                <w:szCs w:val="16"/>
              </w:rPr>
              <w:t>400 tys</w:t>
            </w:r>
            <w:r w:rsidR="00D25317" w:rsidRPr="0055537F">
              <w:rPr>
                <w:rFonts w:ascii="Times New Roman" w:hAnsi="Times New Roman" w:cs="Times New Roman"/>
                <w:sz w:val="16"/>
                <w:szCs w:val="16"/>
              </w:rPr>
              <w:t xml:space="preserve">. </w:t>
            </w:r>
            <w:r w:rsidR="008C0D26">
              <w:rPr>
                <w:rFonts w:ascii="Times New Roman" w:hAnsi="Times New Roman" w:cs="Times New Roman"/>
                <w:sz w:val="16"/>
                <w:szCs w:val="16"/>
              </w:rPr>
              <w:t>zł</w:t>
            </w:r>
            <w:r w:rsidR="00124EAE" w:rsidRPr="0055537F">
              <w:rPr>
                <w:rFonts w:ascii="Times New Roman" w:hAnsi="Times New Roman" w:cs="Times New Roman"/>
                <w:sz w:val="16"/>
                <w:szCs w:val="16"/>
              </w:rPr>
              <w:t>.</w:t>
            </w:r>
          </w:p>
          <w:p w14:paraId="0528298F" w14:textId="402AB00C" w:rsidR="004F41EB" w:rsidRPr="0055537F" w:rsidRDefault="00514664" w:rsidP="008C0D26">
            <w:pPr>
              <w:spacing w:before="120" w:after="120"/>
              <w:jc w:val="both"/>
              <w:rPr>
                <w:rFonts w:ascii="Times New Roman" w:hAnsi="Times New Roman" w:cs="Times New Roman"/>
                <w:sz w:val="16"/>
                <w:szCs w:val="16"/>
              </w:rPr>
            </w:pPr>
            <w:r w:rsidRPr="0055537F">
              <w:rPr>
                <w:rFonts w:ascii="Times New Roman" w:hAnsi="Times New Roman" w:cs="Times New Roman"/>
                <w:sz w:val="16"/>
                <w:szCs w:val="16"/>
              </w:rPr>
              <w:t xml:space="preserve">W miarę rosnących potrzeb utrzymania helpdesk, celem optymalizacji kosztów, zakłada się doraźne wykorzystanie </w:t>
            </w:r>
            <w:r w:rsidR="00124EAE" w:rsidRPr="0055537F">
              <w:rPr>
                <w:rFonts w:ascii="Times New Roman" w:hAnsi="Times New Roman" w:cs="Times New Roman"/>
                <w:sz w:val="16"/>
                <w:szCs w:val="16"/>
              </w:rPr>
              <w:t xml:space="preserve">z </w:t>
            </w:r>
            <w:r w:rsidRPr="0055537F">
              <w:rPr>
                <w:rFonts w:ascii="Times New Roman" w:hAnsi="Times New Roman" w:cs="Times New Roman"/>
                <w:sz w:val="16"/>
                <w:szCs w:val="16"/>
              </w:rPr>
              <w:t>pracowników operacyjnych</w:t>
            </w:r>
            <w:r w:rsidR="00A96846" w:rsidRPr="0055537F">
              <w:rPr>
                <w:rFonts w:ascii="Times New Roman" w:hAnsi="Times New Roman" w:cs="Times New Roman"/>
                <w:sz w:val="16"/>
                <w:szCs w:val="16"/>
              </w:rPr>
              <w:t xml:space="preserve">/ </w:t>
            </w:r>
            <w:r w:rsidRPr="0055537F">
              <w:rPr>
                <w:rFonts w:ascii="Times New Roman" w:hAnsi="Times New Roman" w:cs="Times New Roman"/>
                <w:sz w:val="16"/>
                <w:szCs w:val="16"/>
              </w:rPr>
              <w:t>merytorycznych</w:t>
            </w:r>
            <w:r w:rsidR="008E6AAB">
              <w:rPr>
                <w:rFonts w:ascii="Times New Roman" w:hAnsi="Times New Roman" w:cs="Times New Roman"/>
                <w:sz w:val="16"/>
                <w:szCs w:val="16"/>
              </w:rPr>
              <w:t>, zatrudnionych do utrzymania efektów projektu</w:t>
            </w:r>
            <w:r w:rsidRPr="0055537F">
              <w:rPr>
                <w:rFonts w:ascii="Times New Roman" w:hAnsi="Times New Roman" w:cs="Times New Roman"/>
                <w:sz w:val="16"/>
                <w:szCs w:val="16"/>
              </w:rPr>
              <w:t>.</w:t>
            </w:r>
          </w:p>
          <w:p w14:paraId="0BC291D9" w14:textId="13A1561B" w:rsidR="00854897" w:rsidRPr="00B5006E" w:rsidRDefault="00854897" w:rsidP="008C0D26">
            <w:pPr>
              <w:spacing w:before="120" w:after="120"/>
              <w:jc w:val="both"/>
              <w:rPr>
                <w:rFonts w:ascii="Times New Roman" w:hAnsi="Times New Roman" w:cs="Times New Roman"/>
                <w:sz w:val="16"/>
                <w:szCs w:val="16"/>
              </w:rPr>
            </w:pPr>
            <w:r w:rsidRPr="0055537F">
              <w:rPr>
                <w:rFonts w:ascii="Times New Roman" w:hAnsi="Times New Roman" w:cs="Times New Roman"/>
                <w:sz w:val="16"/>
                <w:szCs w:val="16"/>
              </w:rPr>
              <w:t>W związku z koniecznością ograniczenia kosztów utrzymania systemu</w:t>
            </w:r>
            <w:r w:rsidR="00AF5D6E" w:rsidRPr="0055537F">
              <w:rPr>
                <w:rFonts w:ascii="Times New Roman" w:hAnsi="Times New Roman" w:cs="Times New Roman"/>
                <w:sz w:val="16"/>
                <w:szCs w:val="16"/>
              </w:rPr>
              <w:t xml:space="preserve">, przyjęto 3 etaty do obsługi </w:t>
            </w:r>
            <w:proofErr w:type="spellStart"/>
            <w:r w:rsidR="00AF5D6E" w:rsidRPr="0055537F">
              <w:rPr>
                <w:rFonts w:ascii="Times New Roman" w:hAnsi="Times New Roman" w:cs="Times New Roman"/>
                <w:sz w:val="16"/>
                <w:szCs w:val="16"/>
              </w:rPr>
              <w:t>call</w:t>
            </w:r>
            <w:proofErr w:type="spellEnd"/>
            <w:r w:rsidR="00AF5D6E" w:rsidRPr="0055537F">
              <w:rPr>
                <w:rFonts w:ascii="Times New Roman" w:hAnsi="Times New Roman" w:cs="Times New Roman"/>
                <w:sz w:val="16"/>
                <w:szCs w:val="16"/>
              </w:rPr>
              <w:t xml:space="preserve"> </w:t>
            </w:r>
            <w:proofErr w:type="spellStart"/>
            <w:r w:rsidR="00AF5D6E" w:rsidRPr="0055537F">
              <w:rPr>
                <w:rFonts w:ascii="Times New Roman" w:hAnsi="Times New Roman" w:cs="Times New Roman"/>
                <w:sz w:val="16"/>
                <w:szCs w:val="16"/>
              </w:rPr>
              <w:t>center</w:t>
            </w:r>
            <w:proofErr w:type="spellEnd"/>
            <w:r w:rsidR="00AF5D6E" w:rsidRPr="0055537F">
              <w:rPr>
                <w:rFonts w:ascii="Times New Roman" w:hAnsi="Times New Roman" w:cs="Times New Roman"/>
                <w:sz w:val="16"/>
                <w:szCs w:val="16"/>
              </w:rPr>
              <w:t>.</w:t>
            </w:r>
          </w:p>
          <w:p w14:paraId="53A05977" w14:textId="77777777" w:rsidR="004F41EB" w:rsidRPr="00B5006E" w:rsidRDefault="004F41EB" w:rsidP="00BD4CB1">
            <w:pPr>
              <w:jc w:val="both"/>
              <w:rPr>
                <w:rFonts w:ascii="Times New Roman" w:hAnsi="Times New Roman" w:cs="Times New Roman"/>
                <w:sz w:val="16"/>
                <w:szCs w:val="16"/>
              </w:rPr>
            </w:pPr>
          </w:p>
          <w:tbl>
            <w:tblPr>
              <w:tblStyle w:val="Tabela-Siatka"/>
              <w:tblW w:w="7539" w:type="dxa"/>
              <w:tblLayout w:type="fixed"/>
              <w:tblLook w:val="04A0" w:firstRow="1" w:lastRow="0" w:firstColumn="1" w:lastColumn="0" w:noHBand="0" w:noVBand="1"/>
            </w:tblPr>
            <w:tblGrid>
              <w:gridCol w:w="1302"/>
              <w:gridCol w:w="1134"/>
              <w:gridCol w:w="1276"/>
              <w:gridCol w:w="1418"/>
              <w:gridCol w:w="1134"/>
              <w:gridCol w:w="1275"/>
            </w:tblGrid>
            <w:tr w:rsidR="004F41EB" w:rsidRPr="00B5006E" w14:paraId="1B87B776" w14:textId="77777777" w:rsidTr="00006E7B">
              <w:tc>
                <w:tcPr>
                  <w:tcW w:w="1302" w:type="dxa"/>
                  <w:tcBorders>
                    <w:bottom w:val="single" w:sz="4" w:space="0" w:color="auto"/>
                  </w:tcBorders>
                  <w:shd w:val="clear" w:color="auto" w:fill="DBDBDB" w:themeFill="accent3" w:themeFillTint="66"/>
                  <w:vAlign w:val="center"/>
                </w:tcPr>
                <w:p w14:paraId="4069B2E9" w14:textId="77777777" w:rsidR="004F41EB" w:rsidRPr="00E94A0D" w:rsidRDefault="004F41EB" w:rsidP="00E94A0D">
                  <w:pPr>
                    <w:jc w:val="center"/>
                    <w:rPr>
                      <w:rFonts w:ascii="Times New Roman" w:hAnsi="Times New Roman" w:cs="Times New Roman"/>
                      <w:b/>
                      <w:bCs/>
                      <w:sz w:val="16"/>
                      <w:szCs w:val="16"/>
                    </w:rPr>
                  </w:pPr>
                  <w:r w:rsidRPr="00E94A0D">
                    <w:rPr>
                      <w:rFonts w:ascii="Times New Roman" w:hAnsi="Times New Roman" w:cs="Times New Roman"/>
                      <w:b/>
                      <w:bCs/>
                      <w:sz w:val="16"/>
                      <w:szCs w:val="16"/>
                    </w:rPr>
                    <w:t>2024 r.</w:t>
                  </w:r>
                </w:p>
              </w:tc>
              <w:tc>
                <w:tcPr>
                  <w:tcW w:w="1134" w:type="dxa"/>
                  <w:tcBorders>
                    <w:bottom w:val="single" w:sz="4" w:space="0" w:color="auto"/>
                  </w:tcBorders>
                  <w:shd w:val="clear" w:color="auto" w:fill="DBDBDB" w:themeFill="accent3" w:themeFillTint="66"/>
                  <w:vAlign w:val="center"/>
                </w:tcPr>
                <w:p w14:paraId="32017514" w14:textId="77777777" w:rsidR="004F41EB" w:rsidRPr="00E94A0D" w:rsidRDefault="004F41EB" w:rsidP="00E94A0D">
                  <w:pPr>
                    <w:jc w:val="center"/>
                    <w:rPr>
                      <w:rFonts w:ascii="Times New Roman" w:hAnsi="Times New Roman" w:cs="Times New Roman"/>
                      <w:b/>
                      <w:bCs/>
                      <w:sz w:val="16"/>
                      <w:szCs w:val="16"/>
                    </w:rPr>
                  </w:pPr>
                  <w:r w:rsidRPr="00E94A0D">
                    <w:rPr>
                      <w:rFonts w:ascii="Times New Roman" w:hAnsi="Times New Roman" w:cs="Times New Roman"/>
                      <w:b/>
                      <w:bCs/>
                      <w:sz w:val="16"/>
                      <w:szCs w:val="16"/>
                    </w:rPr>
                    <w:t>2025 r.</w:t>
                  </w:r>
                </w:p>
              </w:tc>
              <w:tc>
                <w:tcPr>
                  <w:tcW w:w="1276" w:type="dxa"/>
                  <w:tcBorders>
                    <w:bottom w:val="single" w:sz="4" w:space="0" w:color="auto"/>
                  </w:tcBorders>
                  <w:shd w:val="clear" w:color="auto" w:fill="DBDBDB" w:themeFill="accent3" w:themeFillTint="66"/>
                  <w:vAlign w:val="center"/>
                </w:tcPr>
                <w:p w14:paraId="7CF55156" w14:textId="77777777" w:rsidR="004F41EB" w:rsidRPr="00E94A0D" w:rsidRDefault="004F41EB" w:rsidP="00E94A0D">
                  <w:pPr>
                    <w:jc w:val="center"/>
                    <w:rPr>
                      <w:rFonts w:ascii="Times New Roman" w:hAnsi="Times New Roman" w:cs="Times New Roman"/>
                      <w:b/>
                      <w:bCs/>
                      <w:sz w:val="16"/>
                      <w:szCs w:val="16"/>
                    </w:rPr>
                  </w:pPr>
                  <w:r w:rsidRPr="00E94A0D">
                    <w:rPr>
                      <w:rFonts w:ascii="Times New Roman" w:hAnsi="Times New Roman" w:cs="Times New Roman"/>
                      <w:b/>
                      <w:bCs/>
                      <w:sz w:val="16"/>
                      <w:szCs w:val="16"/>
                    </w:rPr>
                    <w:t>2026 r.</w:t>
                  </w:r>
                </w:p>
              </w:tc>
              <w:tc>
                <w:tcPr>
                  <w:tcW w:w="1418" w:type="dxa"/>
                  <w:tcBorders>
                    <w:bottom w:val="single" w:sz="4" w:space="0" w:color="auto"/>
                  </w:tcBorders>
                  <w:shd w:val="clear" w:color="auto" w:fill="DBDBDB" w:themeFill="accent3" w:themeFillTint="66"/>
                  <w:vAlign w:val="center"/>
                </w:tcPr>
                <w:p w14:paraId="6A3E3E9C" w14:textId="77777777" w:rsidR="004F41EB" w:rsidRPr="00E94A0D" w:rsidRDefault="004F41EB" w:rsidP="00E94A0D">
                  <w:pPr>
                    <w:jc w:val="center"/>
                    <w:rPr>
                      <w:rFonts w:ascii="Times New Roman" w:hAnsi="Times New Roman" w:cs="Times New Roman"/>
                      <w:b/>
                      <w:bCs/>
                      <w:sz w:val="16"/>
                      <w:szCs w:val="16"/>
                    </w:rPr>
                  </w:pPr>
                  <w:r w:rsidRPr="00E94A0D">
                    <w:rPr>
                      <w:rFonts w:ascii="Times New Roman" w:hAnsi="Times New Roman" w:cs="Times New Roman"/>
                      <w:b/>
                      <w:bCs/>
                      <w:sz w:val="16"/>
                      <w:szCs w:val="16"/>
                    </w:rPr>
                    <w:t>2027 r.</w:t>
                  </w:r>
                </w:p>
              </w:tc>
              <w:tc>
                <w:tcPr>
                  <w:tcW w:w="1134" w:type="dxa"/>
                  <w:tcBorders>
                    <w:bottom w:val="single" w:sz="4" w:space="0" w:color="auto"/>
                  </w:tcBorders>
                  <w:shd w:val="clear" w:color="auto" w:fill="DBDBDB" w:themeFill="accent3" w:themeFillTint="66"/>
                  <w:vAlign w:val="center"/>
                </w:tcPr>
                <w:p w14:paraId="70F4D5F0" w14:textId="77777777" w:rsidR="004F41EB" w:rsidRPr="00E94A0D" w:rsidRDefault="004F41EB" w:rsidP="00E94A0D">
                  <w:pPr>
                    <w:jc w:val="center"/>
                    <w:rPr>
                      <w:rFonts w:ascii="Times New Roman" w:hAnsi="Times New Roman" w:cs="Times New Roman"/>
                      <w:b/>
                      <w:bCs/>
                      <w:sz w:val="16"/>
                      <w:szCs w:val="16"/>
                    </w:rPr>
                  </w:pPr>
                  <w:r w:rsidRPr="00E94A0D">
                    <w:rPr>
                      <w:rFonts w:ascii="Times New Roman" w:hAnsi="Times New Roman" w:cs="Times New Roman"/>
                      <w:b/>
                      <w:bCs/>
                      <w:sz w:val="16"/>
                      <w:szCs w:val="16"/>
                    </w:rPr>
                    <w:t>2028 r.</w:t>
                  </w:r>
                </w:p>
              </w:tc>
              <w:tc>
                <w:tcPr>
                  <w:tcW w:w="1275" w:type="dxa"/>
                  <w:tcBorders>
                    <w:bottom w:val="single" w:sz="4" w:space="0" w:color="auto"/>
                  </w:tcBorders>
                  <w:shd w:val="clear" w:color="auto" w:fill="A6A6A6" w:themeFill="background1" w:themeFillShade="A6"/>
                  <w:vAlign w:val="center"/>
                </w:tcPr>
                <w:p w14:paraId="7BC04E45" w14:textId="77777777" w:rsidR="004F41EB" w:rsidRPr="00E94A0D" w:rsidRDefault="004F41EB" w:rsidP="00E94A0D">
                  <w:pPr>
                    <w:jc w:val="center"/>
                    <w:rPr>
                      <w:rFonts w:ascii="Times New Roman" w:hAnsi="Times New Roman" w:cs="Times New Roman"/>
                      <w:b/>
                      <w:bCs/>
                      <w:sz w:val="16"/>
                      <w:szCs w:val="16"/>
                    </w:rPr>
                  </w:pPr>
                  <w:r w:rsidRPr="00E94A0D">
                    <w:rPr>
                      <w:rFonts w:ascii="Times New Roman" w:hAnsi="Times New Roman" w:cs="Times New Roman"/>
                      <w:b/>
                      <w:bCs/>
                      <w:sz w:val="16"/>
                      <w:szCs w:val="16"/>
                    </w:rPr>
                    <w:t>2024-2028</w:t>
                  </w:r>
                </w:p>
              </w:tc>
            </w:tr>
            <w:tr w:rsidR="00221CD7" w:rsidRPr="00B5006E" w14:paraId="05752CA3" w14:textId="77777777" w:rsidTr="00E94A0D">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14:paraId="4095F03A" w14:textId="1CF32C9B" w:rsidR="00221CD7" w:rsidRPr="00E94A0D" w:rsidRDefault="00BF1450" w:rsidP="00E94A0D">
                  <w:pPr>
                    <w:jc w:val="center"/>
                    <w:rPr>
                      <w:rFonts w:ascii="Times New Roman" w:hAnsi="Times New Roman" w:cs="Times New Roman"/>
                      <w:b/>
                      <w:bCs/>
                      <w:sz w:val="16"/>
                      <w:szCs w:val="16"/>
                    </w:rPr>
                  </w:pPr>
                  <w:r>
                    <w:rPr>
                      <w:rFonts w:ascii="Times New Roman" w:hAnsi="Times New Roman" w:cs="Times New Roman"/>
                      <w:b/>
                      <w:bCs/>
                      <w:color w:val="000000"/>
                      <w:sz w:val="16"/>
                      <w:szCs w:val="16"/>
                    </w:rPr>
                    <w:t>218</w:t>
                  </w:r>
                  <w:r w:rsidR="00EC1501">
                    <w:rPr>
                      <w:rFonts w:ascii="Times New Roman" w:hAnsi="Times New Roman" w:cs="Times New Roman"/>
                      <w:b/>
                      <w:bCs/>
                      <w:color w:val="000000"/>
                      <w:sz w:val="16"/>
                      <w:szCs w:val="16"/>
                    </w:rPr>
                    <w:t>.</w:t>
                  </w:r>
                  <w:r>
                    <w:rPr>
                      <w:rFonts w:ascii="Times New Roman" w:hAnsi="Times New Roman" w:cs="Times New Roman"/>
                      <w:b/>
                      <w:bCs/>
                      <w:color w:val="000000"/>
                      <w:sz w:val="16"/>
                      <w:szCs w:val="16"/>
                    </w:rPr>
                    <w:t>880,00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32DAA0D" w14:textId="021D4FE1" w:rsidR="00221CD7" w:rsidRPr="00E94A0D" w:rsidRDefault="002310CA" w:rsidP="00E94A0D">
                  <w:pPr>
                    <w:jc w:val="center"/>
                    <w:rPr>
                      <w:rFonts w:ascii="Times New Roman" w:hAnsi="Times New Roman" w:cs="Times New Roman"/>
                      <w:b/>
                      <w:bCs/>
                      <w:sz w:val="16"/>
                      <w:szCs w:val="16"/>
                    </w:rPr>
                  </w:pPr>
                  <w:r>
                    <w:rPr>
                      <w:rFonts w:ascii="Times New Roman" w:hAnsi="Times New Roman" w:cs="Times New Roman"/>
                      <w:b/>
                      <w:bCs/>
                      <w:color w:val="000000"/>
                      <w:sz w:val="16"/>
                      <w:szCs w:val="16"/>
                    </w:rPr>
                    <w:t>247</w:t>
                  </w:r>
                  <w:r w:rsidR="00EC1501">
                    <w:rPr>
                      <w:rFonts w:ascii="Times New Roman" w:hAnsi="Times New Roman" w:cs="Times New Roman"/>
                      <w:b/>
                      <w:bCs/>
                      <w:color w:val="000000"/>
                      <w:sz w:val="16"/>
                      <w:szCs w:val="16"/>
                    </w:rPr>
                    <w:t>.</w:t>
                  </w:r>
                  <w:r w:rsidR="00C07D5B">
                    <w:rPr>
                      <w:rFonts w:ascii="Times New Roman" w:hAnsi="Times New Roman" w:cs="Times New Roman"/>
                      <w:b/>
                      <w:bCs/>
                      <w:color w:val="000000"/>
                      <w:sz w:val="16"/>
                      <w:szCs w:val="16"/>
                    </w:rPr>
                    <w:t>680,00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9E18B6B" w14:textId="3FA77FEB" w:rsidR="00221CD7" w:rsidRPr="00E94A0D" w:rsidRDefault="00C07D5B" w:rsidP="00E94A0D">
                  <w:pPr>
                    <w:jc w:val="center"/>
                    <w:rPr>
                      <w:rFonts w:ascii="Times New Roman" w:hAnsi="Times New Roman" w:cs="Times New Roman"/>
                      <w:b/>
                      <w:bCs/>
                      <w:sz w:val="16"/>
                      <w:szCs w:val="16"/>
                    </w:rPr>
                  </w:pPr>
                  <w:r>
                    <w:rPr>
                      <w:rFonts w:ascii="Times New Roman" w:hAnsi="Times New Roman" w:cs="Times New Roman"/>
                      <w:b/>
                      <w:bCs/>
                      <w:color w:val="000000"/>
                      <w:sz w:val="16"/>
                      <w:szCs w:val="16"/>
                    </w:rPr>
                    <w:t>247</w:t>
                  </w:r>
                  <w:r w:rsidR="00EC1501">
                    <w:rPr>
                      <w:rFonts w:ascii="Times New Roman" w:hAnsi="Times New Roman" w:cs="Times New Roman"/>
                      <w:b/>
                      <w:bCs/>
                      <w:color w:val="000000"/>
                      <w:sz w:val="16"/>
                      <w:szCs w:val="16"/>
                    </w:rPr>
                    <w:t>.</w:t>
                  </w:r>
                  <w:r>
                    <w:rPr>
                      <w:rFonts w:ascii="Times New Roman" w:hAnsi="Times New Roman" w:cs="Times New Roman"/>
                      <w:b/>
                      <w:bCs/>
                      <w:color w:val="000000"/>
                      <w:sz w:val="16"/>
                      <w:szCs w:val="16"/>
                    </w:rPr>
                    <w:t>680,00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CAE416A" w14:textId="649982A0" w:rsidR="00221CD7" w:rsidRPr="00E94A0D" w:rsidRDefault="00C07D5B" w:rsidP="00E94A0D">
                  <w:pPr>
                    <w:jc w:val="center"/>
                    <w:rPr>
                      <w:rFonts w:ascii="Times New Roman" w:hAnsi="Times New Roman" w:cs="Times New Roman"/>
                      <w:b/>
                      <w:bCs/>
                      <w:sz w:val="16"/>
                      <w:szCs w:val="16"/>
                    </w:rPr>
                  </w:pPr>
                  <w:r>
                    <w:rPr>
                      <w:rFonts w:ascii="Times New Roman" w:hAnsi="Times New Roman" w:cs="Times New Roman"/>
                      <w:b/>
                      <w:bCs/>
                      <w:color w:val="000000"/>
                      <w:sz w:val="16"/>
                      <w:szCs w:val="16"/>
                    </w:rPr>
                    <w:t>247</w:t>
                  </w:r>
                  <w:r w:rsidR="00EC1501">
                    <w:rPr>
                      <w:rFonts w:ascii="Times New Roman" w:hAnsi="Times New Roman" w:cs="Times New Roman"/>
                      <w:b/>
                      <w:bCs/>
                      <w:color w:val="000000"/>
                      <w:sz w:val="16"/>
                      <w:szCs w:val="16"/>
                    </w:rPr>
                    <w:t>.</w:t>
                  </w:r>
                  <w:r>
                    <w:rPr>
                      <w:rFonts w:ascii="Times New Roman" w:hAnsi="Times New Roman" w:cs="Times New Roman"/>
                      <w:b/>
                      <w:bCs/>
                      <w:color w:val="000000"/>
                      <w:sz w:val="16"/>
                      <w:szCs w:val="16"/>
                    </w:rPr>
                    <w:t>680,00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4106C87" w14:textId="32F9B211" w:rsidR="00221CD7" w:rsidRPr="00E94A0D" w:rsidRDefault="00C07D5B" w:rsidP="00E94A0D">
                  <w:pPr>
                    <w:jc w:val="center"/>
                    <w:rPr>
                      <w:rFonts w:ascii="Times New Roman" w:hAnsi="Times New Roman" w:cs="Times New Roman"/>
                      <w:b/>
                      <w:bCs/>
                      <w:sz w:val="16"/>
                      <w:szCs w:val="16"/>
                    </w:rPr>
                  </w:pPr>
                  <w:r>
                    <w:rPr>
                      <w:rFonts w:ascii="Times New Roman" w:hAnsi="Times New Roman" w:cs="Times New Roman"/>
                      <w:b/>
                      <w:bCs/>
                      <w:color w:val="000000"/>
                      <w:sz w:val="16"/>
                      <w:szCs w:val="16"/>
                    </w:rPr>
                    <w:t>247</w:t>
                  </w:r>
                  <w:r w:rsidR="00EC1501">
                    <w:rPr>
                      <w:rFonts w:ascii="Times New Roman" w:hAnsi="Times New Roman" w:cs="Times New Roman"/>
                      <w:b/>
                      <w:bCs/>
                      <w:color w:val="000000"/>
                      <w:sz w:val="16"/>
                      <w:szCs w:val="16"/>
                    </w:rPr>
                    <w:t>.</w:t>
                  </w:r>
                  <w:r>
                    <w:rPr>
                      <w:rFonts w:ascii="Times New Roman" w:hAnsi="Times New Roman" w:cs="Times New Roman"/>
                      <w:b/>
                      <w:bCs/>
                      <w:color w:val="000000"/>
                      <w:sz w:val="16"/>
                      <w:szCs w:val="16"/>
                    </w:rPr>
                    <w:t>680,00</w:t>
                  </w:r>
                </w:p>
              </w:tc>
              <w:tc>
                <w:tcPr>
                  <w:tcW w:w="12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5205BF9" w14:textId="608A59F5" w:rsidR="00221CD7" w:rsidRPr="00E94A0D" w:rsidRDefault="00C07D5B" w:rsidP="00E94A0D">
                  <w:pPr>
                    <w:jc w:val="center"/>
                    <w:rPr>
                      <w:rFonts w:ascii="Times New Roman" w:hAnsi="Times New Roman" w:cs="Times New Roman"/>
                      <w:b/>
                      <w:bCs/>
                      <w:sz w:val="16"/>
                      <w:szCs w:val="16"/>
                    </w:rPr>
                  </w:pPr>
                  <w:r>
                    <w:rPr>
                      <w:rFonts w:ascii="Times New Roman" w:hAnsi="Times New Roman" w:cs="Times New Roman"/>
                      <w:b/>
                      <w:bCs/>
                      <w:sz w:val="16"/>
                      <w:szCs w:val="16"/>
                    </w:rPr>
                    <w:t>1</w:t>
                  </w:r>
                  <w:r w:rsidR="00EC1501">
                    <w:rPr>
                      <w:rFonts w:ascii="Times New Roman" w:hAnsi="Times New Roman" w:cs="Times New Roman"/>
                      <w:b/>
                      <w:bCs/>
                      <w:sz w:val="16"/>
                      <w:szCs w:val="16"/>
                    </w:rPr>
                    <w:t>.</w:t>
                  </w:r>
                  <w:r>
                    <w:rPr>
                      <w:rFonts w:ascii="Times New Roman" w:hAnsi="Times New Roman" w:cs="Times New Roman"/>
                      <w:b/>
                      <w:bCs/>
                      <w:sz w:val="16"/>
                      <w:szCs w:val="16"/>
                    </w:rPr>
                    <w:t>209</w:t>
                  </w:r>
                  <w:r w:rsidR="00EC1501">
                    <w:rPr>
                      <w:rFonts w:ascii="Times New Roman" w:hAnsi="Times New Roman" w:cs="Times New Roman"/>
                      <w:b/>
                      <w:bCs/>
                      <w:sz w:val="16"/>
                      <w:szCs w:val="16"/>
                    </w:rPr>
                    <w:t>.</w:t>
                  </w:r>
                  <w:r>
                    <w:rPr>
                      <w:rFonts w:ascii="Times New Roman" w:hAnsi="Times New Roman" w:cs="Times New Roman"/>
                      <w:b/>
                      <w:bCs/>
                      <w:sz w:val="16"/>
                      <w:szCs w:val="16"/>
                    </w:rPr>
                    <w:t>600,00</w:t>
                  </w:r>
                </w:p>
              </w:tc>
            </w:tr>
          </w:tbl>
          <w:p w14:paraId="249B7A48" w14:textId="77777777" w:rsidR="008C0D26" w:rsidRPr="008C0D26" w:rsidRDefault="008C0D26" w:rsidP="008C0D26">
            <w:pPr>
              <w:spacing w:before="120" w:after="120"/>
              <w:jc w:val="both"/>
              <w:rPr>
                <w:rFonts w:ascii="Times New Roman" w:hAnsi="Times New Roman" w:cs="Times New Roman"/>
                <w:sz w:val="16"/>
                <w:szCs w:val="16"/>
              </w:rPr>
            </w:pPr>
            <w:r w:rsidRPr="008C0D26">
              <w:rPr>
                <w:rFonts w:ascii="Times New Roman" w:hAnsi="Times New Roman" w:cs="Times New Roman"/>
                <w:sz w:val="16"/>
                <w:szCs w:val="16"/>
              </w:rPr>
              <w:t>3  etaty x 12 m-</w:t>
            </w:r>
            <w:proofErr w:type="spellStart"/>
            <w:r w:rsidRPr="008C0D26">
              <w:rPr>
                <w:rFonts w:ascii="Times New Roman" w:hAnsi="Times New Roman" w:cs="Times New Roman"/>
                <w:sz w:val="16"/>
                <w:szCs w:val="16"/>
              </w:rPr>
              <w:t>cy</w:t>
            </w:r>
            <w:proofErr w:type="spellEnd"/>
            <w:r w:rsidRPr="008C0D26">
              <w:rPr>
                <w:rFonts w:ascii="Times New Roman" w:hAnsi="Times New Roman" w:cs="Times New Roman"/>
                <w:sz w:val="16"/>
                <w:szCs w:val="16"/>
              </w:rPr>
              <w:t xml:space="preserve"> x wynagrodzenie zasadnicze na stanowisku młodszego specjalisty / specjalisty wraz z kosztami pracodawcy wg obowiązującego w PAŻP regulaminu wynagradzania </w:t>
            </w:r>
          </w:p>
          <w:p w14:paraId="7BAEDF5D" w14:textId="77777777" w:rsidR="008C0D26" w:rsidRPr="008C0D26" w:rsidRDefault="008C0D26" w:rsidP="008C0D26">
            <w:pPr>
              <w:spacing w:before="120" w:after="120"/>
              <w:jc w:val="both"/>
              <w:rPr>
                <w:rFonts w:ascii="Times New Roman" w:hAnsi="Times New Roman" w:cs="Times New Roman"/>
                <w:sz w:val="16"/>
                <w:szCs w:val="16"/>
              </w:rPr>
            </w:pPr>
            <w:r w:rsidRPr="008C0D26">
              <w:rPr>
                <w:rFonts w:ascii="Times New Roman" w:hAnsi="Times New Roman" w:cs="Times New Roman"/>
                <w:sz w:val="16"/>
                <w:szCs w:val="16"/>
              </w:rPr>
              <w:t xml:space="preserve">180.000 zł/ 198.000 zł wynagrodzenia zasadnicze + 38.880 zł/ 49.680 zł  koszty pracodawcy = 218.880 zł/ 247.680 zł. </w:t>
            </w:r>
          </w:p>
          <w:p w14:paraId="7EBBF05D" w14:textId="3CE632EA" w:rsidR="008C0D26" w:rsidRPr="008C0D26" w:rsidRDefault="008C0D26" w:rsidP="008C0D26">
            <w:pPr>
              <w:spacing w:before="120" w:after="120"/>
              <w:jc w:val="both"/>
              <w:rPr>
                <w:rFonts w:ascii="Times New Roman" w:hAnsi="Times New Roman" w:cs="Times New Roman"/>
                <w:sz w:val="16"/>
                <w:szCs w:val="16"/>
              </w:rPr>
            </w:pPr>
            <w:r w:rsidRPr="008C0D26">
              <w:rPr>
                <w:rFonts w:ascii="Times New Roman" w:hAnsi="Times New Roman" w:cs="Times New Roman"/>
                <w:sz w:val="16"/>
                <w:szCs w:val="16"/>
              </w:rPr>
              <w:t xml:space="preserve">Pierwotnie do obliczeń przyjęto wariant: helpdesk działający tylko przez 14 </w:t>
            </w:r>
            <w:r>
              <w:rPr>
                <w:rFonts w:ascii="Times New Roman" w:hAnsi="Times New Roman" w:cs="Times New Roman"/>
                <w:sz w:val="16"/>
                <w:szCs w:val="16"/>
              </w:rPr>
              <w:t>h</w:t>
            </w:r>
            <w:r w:rsidRPr="008C0D26">
              <w:rPr>
                <w:rFonts w:ascii="Times New Roman" w:hAnsi="Times New Roman" w:cs="Times New Roman"/>
                <w:sz w:val="16"/>
                <w:szCs w:val="16"/>
              </w:rPr>
              <w:t xml:space="preserve"> dziennie  (prawdopodobnie 7-21). Od poniedziałku do piątku obsługiwany przez jedną osobę na stanowisku obsługi, natomiast tylko w soboty i niedziele z dwiema osobami na stanowisku, ze względu na szacowaną znacznie zwiększoną liczbę użytkowników systemu, wymagających wsparcia. Przyjęto założenie, że z każdego dyżuru jedna godzina przeznaczona jest na proces kształcenia się pracowników do profesjonalnej obsługi z aktualnych usług i produktów, czy też na realizację zadań </w:t>
            </w:r>
            <w:proofErr w:type="spellStart"/>
            <w:r w:rsidRPr="008C0D26">
              <w:rPr>
                <w:rFonts w:ascii="Times New Roman" w:hAnsi="Times New Roman" w:cs="Times New Roman"/>
                <w:sz w:val="16"/>
                <w:szCs w:val="16"/>
              </w:rPr>
              <w:t>formalno</w:t>
            </w:r>
            <w:proofErr w:type="spellEnd"/>
            <w:r w:rsidRPr="008C0D26">
              <w:rPr>
                <w:rFonts w:ascii="Times New Roman" w:hAnsi="Times New Roman" w:cs="Times New Roman"/>
                <w:sz w:val="16"/>
                <w:szCs w:val="16"/>
              </w:rPr>
              <w:t xml:space="preserve"> –proceduralnych.</w:t>
            </w:r>
          </w:p>
          <w:p w14:paraId="0B010A1D" w14:textId="77777777" w:rsidR="008C0D26" w:rsidRPr="008C0D26" w:rsidRDefault="008C0D26" w:rsidP="008C0D26">
            <w:pPr>
              <w:spacing w:before="120" w:after="120"/>
              <w:jc w:val="both"/>
              <w:rPr>
                <w:rFonts w:ascii="Times New Roman" w:hAnsi="Times New Roman" w:cs="Times New Roman"/>
                <w:sz w:val="16"/>
                <w:szCs w:val="16"/>
              </w:rPr>
            </w:pPr>
            <w:r w:rsidRPr="008C0D26">
              <w:rPr>
                <w:rFonts w:ascii="Times New Roman" w:hAnsi="Times New Roman" w:cs="Times New Roman"/>
                <w:sz w:val="16"/>
                <w:szCs w:val="16"/>
              </w:rPr>
              <w:lastRenderedPageBreak/>
              <w:t>W miarę rosnących potrzeb utrzymania helpdesk, celem optymalizacji kosztów, założono doraźne wykorzystywanie pracowników operacyjnych/ merytorycznych (zatrudnionych do utrzymania usług projektu) do wsparcia w obsłudze helpdesk.</w:t>
            </w:r>
          </w:p>
          <w:p w14:paraId="41EDA46C" w14:textId="370FF1D5" w:rsidR="008C0D26" w:rsidRPr="008C0D26" w:rsidRDefault="008C0D26" w:rsidP="008C0D26">
            <w:pPr>
              <w:spacing w:before="120" w:after="120"/>
              <w:jc w:val="both"/>
              <w:rPr>
                <w:rFonts w:ascii="Times New Roman" w:hAnsi="Times New Roman" w:cs="Times New Roman"/>
                <w:sz w:val="16"/>
                <w:szCs w:val="16"/>
              </w:rPr>
            </w:pPr>
            <w:r w:rsidRPr="008C0D26">
              <w:rPr>
                <w:rFonts w:ascii="Times New Roman" w:hAnsi="Times New Roman" w:cs="Times New Roman"/>
                <w:sz w:val="16"/>
                <w:szCs w:val="16"/>
              </w:rPr>
              <w:t xml:space="preserve">Średnio w miesiącu kalendarzowym do obsadzenia jest 76 dyżurów po 8 </w:t>
            </w:r>
            <w:r>
              <w:rPr>
                <w:rFonts w:ascii="Times New Roman" w:hAnsi="Times New Roman" w:cs="Times New Roman"/>
                <w:sz w:val="16"/>
                <w:szCs w:val="16"/>
              </w:rPr>
              <w:t>h</w:t>
            </w:r>
            <w:r w:rsidRPr="008C0D26">
              <w:rPr>
                <w:rFonts w:ascii="Times New Roman" w:hAnsi="Times New Roman" w:cs="Times New Roman"/>
                <w:sz w:val="16"/>
                <w:szCs w:val="16"/>
              </w:rPr>
              <w:t xml:space="preserve"> [8 dni weekendowych (4 stanowiska x 8</w:t>
            </w:r>
            <w:r>
              <w:rPr>
                <w:rFonts w:ascii="Times New Roman" w:hAnsi="Times New Roman" w:cs="Times New Roman"/>
                <w:sz w:val="16"/>
                <w:szCs w:val="16"/>
              </w:rPr>
              <w:t> </w:t>
            </w:r>
            <w:r w:rsidRPr="008C0D26">
              <w:rPr>
                <w:rFonts w:ascii="Times New Roman" w:hAnsi="Times New Roman" w:cs="Times New Roman"/>
                <w:sz w:val="16"/>
                <w:szCs w:val="16"/>
              </w:rPr>
              <w:t>h x 8 dni) i 22 dni powszednich (2 stanowiska x 8</w:t>
            </w:r>
            <w:r>
              <w:rPr>
                <w:rFonts w:ascii="Times New Roman" w:hAnsi="Times New Roman" w:cs="Times New Roman"/>
                <w:sz w:val="16"/>
                <w:szCs w:val="16"/>
              </w:rPr>
              <w:t> </w:t>
            </w:r>
            <w:r w:rsidRPr="008C0D26">
              <w:rPr>
                <w:rFonts w:ascii="Times New Roman" w:hAnsi="Times New Roman" w:cs="Times New Roman"/>
                <w:sz w:val="16"/>
                <w:szCs w:val="16"/>
              </w:rPr>
              <w:t xml:space="preserve">h x 22 </w:t>
            </w:r>
            <w:r>
              <w:rPr>
                <w:rFonts w:ascii="Times New Roman" w:hAnsi="Times New Roman" w:cs="Times New Roman"/>
                <w:sz w:val="16"/>
                <w:szCs w:val="16"/>
              </w:rPr>
              <w:t xml:space="preserve">dni). Łącznie daje to 608 </w:t>
            </w:r>
            <w:r>
              <w:rPr>
                <w:rFonts w:ascii="Times New Roman" w:hAnsi="Times New Roman" w:cs="Times New Roman"/>
                <w:vanish/>
                <w:sz w:val="16"/>
                <w:szCs w:val="16"/>
              </w:rPr>
              <w:t>h</w:t>
            </w:r>
            <w:r w:rsidRPr="008C0D26">
              <w:rPr>
                <w:rFonts w:ascii="Times New Roman" w:hAnsi="Times New Roman" w:cs="Times New Roman"/>
                <w:sz w:val="16"/>
                <w:szCs w:val="16"/>
              </w:rPr>
              <w:t xml:space="preserve"> pracy.</w:t>
            </w:r>
          </w:p>
          <w:p w14:paraId="54C98B50" w14:textId="72A1C7F7" w:rsidR="008C0D26" w:rsidRPr="008C0D26" w:rsidRDefault="008C0D26" w:rsidP="008C0D26">
            <w:pPr>
              <w:spacing w:before="120" w:after="120"/>
              <w:jc w:val="both"/>
              <w:rPr>
                <w:rFonts w:ascii="Times New Roman" w:hAnsi="Times New Roman" w:cs="Times New Roman"/>
                <w:sz w:val="16"/>
                <w:szCs w:val="16"/>
              </w:rPr>
            </w:pPr>
            <w:r w:rsidRPr="008C0D26">
              <w:rPr>
                <w:rFonts w:ascii="Times New Roman" w:hAnsi="Times New Roman" w:cs="Times New Roman"/>
                <w:sz w:val="16"/>
                <w:szCs w:val="16"/>
              </w:rPr>
              <w:t>Przy średnim czasie pracy w miesiącu na pełn</w:t>
            </w:r>
            <w:r>
              <w:rPr>
                <w:rFonts w:ascii="Times New Roman" w:hAnsi="Times New Roman" w:cs="Times New Roman"/>
                <w:sz w:val="16"/>
                <w:szCs w:val="16"/>
              </w:rPr>
              <w:t>ym etacie na poziomie 168 h</w:t>
            </w:r>
            <w:r w:rsidRPr="008C0D26">
              <w:rPr>
                <w:rFonts w:ascii="Times New Roman" w:hAnsi="Times New Roman" w:cs="Times New Roman"/>
                <w:sz w:val="16"/>
                <w:szCs w:val="16"/>
              </w:rPr>
              <w:t xml:space="preserve"> odpowiada to 3,61 etatu netto.</w:t>
            </w:r>
          </w:p>
          <w:p w14:paraId="52F27239" w14:textId="611A3439" w:rsidR="008C0D26" w:rsidRPr="008C0D26" w:rsidRDefault="008C0D26" w:rsidP="008C0D26">
            <w:pPr>
              <w:spacing w:before="120" w:after="120"/>
              <w:jc w:val="both"/>
              <w:rPr>
                <w:rFonts w:ascii="Times New Roman" w:hAnsi="Times New Roman" w:cs="Times New Roman"/>
                <w:sz w:val="16"/>
                <w:szCs w:val="16"/>
              </w:rPr>
            </w:pPr>
            <w:r w:rsidRPr="008C0D26">
              <w:rPr>
                <w:rFonts w:ascii="Times New Roman" w:hAnsi="Times New Roman" w:cs="Times New Roman"/>
                <w:sz w:val="16"/>
                <w:szCs w:val="16"/>
              </w:rPr>
              <w:t xml:space="preserve">Mając na uwadze urlopy, zwolnienia lekarskie i szkolenia, dostępność pracownika do planowania obsady wynosi średnio około 75% w skali roku. Wobec powyższego wymagana liczba do zapewnienia obsady dla 608 </w:t>
            </w:r>
            <w:r>
              <w:rPr>
                <w:rFonts w:ascii="Times New Roman" w:hAnsi="Times New Roman" w:cs="Times New Roman"/>
                <w:sz w:val="16"/>
                <w:szCs w:val="16"/>
              </w:rPr>
              <w:t>h</w:t>
            </w:r>
            <w:r w:rsidRPr="008C0D26">
              <w:rPr>
                <w:rFonts w:ascii="Times New Roman" w:hAnsi="Times New Roman" w:cs="Times New Roman"/>
                <w:sz w:val="16"/>
                <w:szCs w:val="16"/>
              </w:rPr>
              <w:t xml:space="preserve"> miesięcznie wynosi 5 osób (4,81 etatu – najbliższą pełną liczbą jest 5 osób). </w:t>
            </w:r>
          </w:p>
          <w:p w14:paraId="4E3602FE" w14:textId="494B9232" w:rsidR="007815AB" w:rsidRPr="00B5006E" w:rsidRDefault="008C0D26" w:rsidP="008C0D26">
            <w:pPr>
              <w:spacing w:before="120" w:after="120"/>
              <w:jc w:val="both"/>
              <w:rPr>
                <w:rFonts w:ascii="Times New Roman" w:hAnsi="Times New Roman" w:cs="Times New Roman"/>
                <w:sz w:val="16"/>
                <w:szCs w:val="16"/>
              </w:rPr>
            </w:pPr>
            <w:r w:rsidRPr="008C0D26">
              <w:rPr>
                <w:rFonts w:ascii="Times New Roman" w:hAnsi="Times New Roman" w:cs="Times New Roman"/>
                <w:sz w:val="16"/>
                <w:szCs w:val="16"/>
              </w:rPr>
              <w:t xml:space="preserve">Ostatecznie, celem ograniczenia kosztów, zredukowano w wyliczeniach liczbę godzin pracy </w:t>
            </w:r>
            <w:proofErr w:type="spellStart"/>
            <w:r w:rsidRPr="008C0D26">
              <w:rPr>
                <w:rFonts w:ascii="Times New Roman" w:hAnsi="Times New Roman" w:cs="Times New Roman"/>
                <w:sz w:val="16"/>
                <w:szCs w:val="16"/>
              </w:rPr>
              <w:t>help</w:t>
            </w:r>
            <w:proofErr w:type="spellEnd"/>
            <w:r w:rsidRPr="008C0D26">
              <w:rPr>
                <w:rFonts w:ascii="Times New Roman" w:hAnsi="Times New Roman" w:cs="Times New Roman"/>
                <w:sz w:val="16"/>
                <w:szCs w:val="16"/>
              </w:rPr>
              <w:t xml:space="preserve"> </w:t>
            </w:r>
            <w:proofErr w:type="spellStart"/>
            <w:r w:rsidRPr="008C0D26">
              <w:rPr>
                <w:rFonts w:ascii="Times New Roman" w:hAnsi="Times New Roman" w:cs="Times New Roman"/>
                <w:sz w:val="16"/>
                <w:szCs w:val="16"/>
              </w:rPr>
              <w:t>desk</w:t>
            </w:r>
            <w:proofErr w:type="spellEnd"/>
            <w:r w:rsidRPr="008C0D26">
              <w:rPr>
                <w:rFonts w:ascii="Times New Roman" w:hAnsi="Times New Roman" w:cs="Times New Roman"/>
                <w:sz w:val="16"/>
                <w:szCs w:val="16"/>
              </w:rPr>
              <w:t xml:space="preserve"> do 7 </w:t>
            </w:r>
            <w:r>
              <w:rPr>
                <w:rFonts w:ascii="Times New Roman" w:hAnsi="Times New Roman" w:cs="Times New Roman"/>
                <w:sz w:val="16"/>
                <w:szCs w:val="16"/>
              </w:rPr>
              <w:t>h</w:t>
            </w:r>
            <w:r w:rsidRPr="008C0D26">
              <w:rPr>
                <w:rFonts w:ascii="Times New Roman" w:hAnsi="Times New Roman" w:cs="Times New Roman"/>
                <w:sz w:val="16"/>
                <w:szCs w:val="16"/>
              </w:rPr>
              <w:t xml:space="preserve"> w dni powszednie i 14 </w:t>
            </w:r>
            <w:r>
              <w:rPr>
                <w:rFonts w:ascii="Times New Roman" w:hAnsi="Times New Roman" w:cs="Times New Roman"/>
                <w:sz w:val="16"/>
                <w:szCs w:val="16"/>
              </w:rPr>
              <w:t>h</w:t>
            </w:r>
            <w:r w:rsidRPr="008C0D26">
              <w:rPr>
                <w:rFonts w:ascii="Times New Roman" w:hAnsi="Times New Roman" w:cs="Times New Roman"/>
                <w:sz w:val="16"/>
                <w:szCs w:val="16"/>
              </w:rPr>
              <w:t xml:space="preserve"> w dni weekendowe. Wówczas niezbędna liczba pracowników do zapewnienia obsady wynosi 3 osoby, co skutkuje obniżeniem kosztów. Powyższe wiązałoby się z zapewnieniem ograniczonej usługi wsparcia użytkowników systemu. Należy zauważyć, że przy tak niewielkim zatrudnieniu do obsługi helpdesk, występowanie sytuacji niewystarczającego dostępnego personelu do zapewnienia obsady będzie prawdopodobnie występowało często</w:t>
            </w:r>
            <w:r>
              <w:rPr>
                <w:rFonts w:ascii="Times New Roman" w:hAnsi="Times New Roman" w:cs="Times New Roman"/>
                <w:sz w:val="16"/>
                <w:szCs w:val="16"/>
              </w:rPr>
              <w:t>.</w:t>
            </w:r>
          </w:p>
          <w:p w14:paraId="2BB1331F" w14:textId="22224A6C" w:rsidR="007815AB" w:rsidRPr="00B5006E" w:rsidRDefault="007815AB" w:rsidP="008C0D26">
            <w:pPr>
              <w:spacing w:before="120" w:after="120"/>
              <w:jc w:val="both"/>
              <w:rPr>
                <w:rFonts w:ascii="Times New Roman" w:hAnsi="Times New Roman" w:cs="Times New Roman"/>
                <w:sz w:val="16"/>
                <w:szCs w:val="16"/>
                <w:u w:val="single"/>
              </w:rPr>
            </w:pPr>
            <w:r w:rsidRPr="00B5006E">
              <w:rPr>
                <w:rFonts w:ascii="Times New Roman" w:hAnsi="Times New Roman" w:cs="Times New Roman"/>
                <w:sz w:val="16"/>
                <w:szCs w:val="16"/>
                <w:u w:val="single"/>
              </w:rPr>
              <w:t>Podróże służbowe</w:t>
            </w:r>
          </w:p>
          <w:p w14:paraId="23D862F7" w14:textId="758FE51F" w:rsidR="004F41EB" w:rsidRDefault="007815AB" w:rsidP="00BD4CB1">
            <w:pPr>
              <w:jc w:val="both"/>
              <w:rPr>
                <w:rFonts w:ascii="Times New Roman" w:hAnsi="Times New Roman" w:cs="Times New Roman"/>
                <w:sz w:val="16"/>
                <w:szCs w:val="16"/>
              </w:rPr>
            </w:pPr>
            <w:r w:rsidRPr="00B5006E">
              <w:rPr>
                <w:rFonts w:ascii="Times New Roman" w:hAnsi="Times New Roman" w:cs="Times New Roman"/>
                <w:sz w:val="16"/>
                <w:szCs w:val="16"/>
              </w:rPr>
              <w:t>Przewiduje się,</w:t>
            </w:r>
            <w:r w:rsidR="00124EAE" w:rsidRPr="00B5006E">
              <w:rPr>
                <w:rFonts w:ascii="Times New Roman" w:hAnsi="Times New Roman" w:cs="Times New Roman"/>
                <w:sz w:val="16"/>
                <w:szCs w:val="16"/>
              </w:rPr>
              <w:t xml:space="preserve"> że w okresie utrzymania trwałości</w:t>
            </w:r>
            <w:r w:rsidRPr="00B5006E">
              <w:rPr>
                <w:rFonts w:ascii="Times New Roman" w:hAnsi="Times New Roman" w:cs="Times New Roman"/>
                <w:sz w:val="16"/>
                <w:szCs w:val="16"/>
              </w:rPr>
              <w:t xml:space="preserve"> projektów, niezbędne będzie zapewnienie środków na podróże służbowe w zw. z utrzymaniem powstałej infrastruktur</w:t>
            </w:r>
            <w:r w:rsidR="00367D52" w:rsidRPr="00B5006E">
              <w:rPr>
                <w:rFonts w:ascii="Times New Roman" w:hAnsi="Times New Roman" w:cs="Times New Roman"/>
                <w:sz w:val="16"/>
                <w:szCs w:val="16"/>
              </w:rPr>
              <w:t>y</w:t>
            </w:r>
            <w:r w:rsidR="00804ACD" w:rsidRPr="00B5006E">
              <w:rPr>
                <w:rFonts w:ascii="Times New Roman" w:hAnsi="Times New Roman" w:cs="Times New Roman"/>
                <w:sz w:val="16"/>
                <w:szCs w:val="16"/>
              </w:rPr>
              <w:t>, zadań związanych z nadzorem obszarów</w:t>
            </w:r>
            <w:r w:rsidR="00124EAE" w:rsidRPr="00B5006E">
              <w:rPr>
                <w:rFonts w:ascii="Times New Roman" w:hAnsi="Times New Roman" w:cs="Times New Roman"/>
                <w:sz w:val="16"/>
                <w:szCs w:val="16"/>
              </w:rPr>
              <w:t>,</w:t>
            </w:r>
            <w:r w:rsidR="00804ACD" w:rsidRPr="00B5006E">
              <w:rPr>
                <w:rFonts w:ascii="Times New Roman" w:hAnsi="Times New Roman" w:cs="Times New Roman"/>
                <w:sz w:val="16"/>
                <w:szCs w:val="16"/>
              </w:rPr>
              <w:t xml:space="preserve"> w których realizowana jest usługa </w:t>
            </w:r>
            <w:r w:rsidR="00367D52" w:rsidRPr="00B5006E">
              <w:rPr>
                <w:rFonts w:ascii="Times New Roman" w:hAnsi="Times New Roman" w:cs="Times New Roman"/>
                <w:sz w:val="16"/>
                <w:szCs w:val="16"/>
              </w:rPr>
              <w:t xml:space="preserve">oraz </w:t>
            </w:r>
            <w:r w:rsidR="005C1647" w:rsidRPr="00B5006E">
              <w:rPr>
                <w:rFonts w:ascii="Times New Roman" w:hAnsi="Times New Roman" w:cs="Times New Roman"/>
                <w:sz w:val="16"/>
                <w:szCs w:val="16"/>
              </w:rPr>
              <w:t xml:space="preserve">skalowaniem </w:t>
            </w:r>
            <w:r w:rsidR="00367D52" w:rsidRPr="00B5006E">
              <w:rPr>
                <w:rFonts w:ascii="Times New Roman" w:hAnsi="Times New Roman" w:cs="Times New Roman"/>
                <w:sz w:val="16"/>
                <w:szCs w:val="16"/>
              </w:rPr>
              <w:t xml:space="preserve">usług </w:t>
            </w:r>
            <w:r w:rsidR="002C1171" w:rsidRPr="00B5006E">
              <w:rPr>
                <w:rFonts w:ascii="Times New Roman" w:hAnsi="Times New Roman" w:cs="Times New Roman"/>
                <w:sz w:val="16"/>
                <w:szCs w:val="16"/>
              </w:rPr>
              <w:t>podyktowanym zwiększonym popytem</w:t>
            </w:r>
            <w:r w:rsidR="00AD6284">
              <w:rPr>
                <w:rFonts w:ascii="Times New Roman" w:hAnsi="Times New Roman" w:cs="Times New Roman"/>
                <w:sz w:val="16"/>
                <w:szCs w:val="16"/>
              </w:rPr>
              <w:t>, jak również z faktem, że część zasobów projektu będzie rozproszona po całej Polsce</w:t>
            </w:r>
            <w:r w:rsidR="001B7C07">
              <w:rPr>
                <w:rFonts w:ascii="Times New Roman" w:hAnsi="Times New Roman" w:cs="Times New Roman"/>
                <w:sz w:val="16"/>
                <w:szCs w:val="16"/>
              </w:rPr>
              <w:t>.</w:t>
            </w:r>
          </w:p>
          <w:p w14:paraId="2C55D198" w14:textId="77777777" w:rsidR="008C0D26" w:rsidRDefault="008C0D26" w:rsidP="00BD4CB1">
            <w:pPr>
              <w:jc w:val="both"/>
              <w:rPr>
                <w:rFonts w:ascii="Times New Roman" w:hAnsi="Times New Roman" w:cs="Times New Roman"/>
                <w:sz w:val="16"/>
                <w:szCs w:val="16"/>
              </w:rPr>
            </w:pPr>
          </w:p>
          <w:tbl>
            <w:tblPr>
              <w:tblStyle w:val="Tabela-Siatka"/>
              <w:tblW w:w="0" w:type="auto"/>
              <w:tblLayout w:type="fixed"/>
              <w:tblLook w:val="04A0" w:firstRow="1" w:lastRow="0" w:firstColumn="1" w:lastColumn="0" w:noHBand="0" w:noVBand="1"/>
            </w:tblPr>
            <w:tblGrid>
              <w:gridCol w:w="1302"/>
              <w:gridCol w:w="1134"/>
              <w:gridCol w:w="1276"/>
              <w:gridCol w:w="1418"/>
              <w:gridCol w:w="1134"/>
              <w:gridCol w:w="1275"/>
            </w:tblGrid>
            <w:tr w:rsidR="008C0D26" w:rsidRPr="00B5006E" w14:paraId="275BA596" w14:textId="77777777" w:rsidTr="0000020F">
              <w:tc>
                <w:tcPr>
                  <w:tcW w:w="1302" w:type="dxa"/>
                  <w:tcBorders>
                    <w:bottom w:val="single" w:sz="4" w:space="0" w:color="auto"/>
                  </w:tcBorders>
                  <w:shd w:val="clear" w:color="auto" w:fill="DBDBDB" w:themeFill="accent3" w:themeFillTint="66"/>
                  <w:vAlign w:val="center"/>
                </w:tcPr>
                <w:p w14:paraId="0488541E" w14:textId="77777777" w:rsidR="008C0D26" w:rsidRPr="00B5006E" w:rsidRDefault="008C0D26" w:rsidP="008C0D26">
                  <w:pPr>
                    <w:jc w:val="center"/>
                    <w:rPr>
                      <w:rFonts w:ascii="Times New Roman" w:hAnsi="Times New Roman" w:cs="Times New Roman"/>
                      <w:sz w:val="16"/>
                      <w:szCs w:val="16"/>
                    </w:rPr>
                  </w:pPr>
                  <w:r w:rsidRPr="00B5006E">
                    <w:rPr>
                      <w:rFonts w:ascii="Times New Roman" w:hAnsi="Times New Roman" w:cs="Times New Roman"/>
                      <w:b/>
                      <w:bCs/>
                      <w:sz w:val="16"/>
                      <w:szCs w:val="16"/>
                    </w:rPr>
                    <w:t>2024 r.</w:t>
                  </w:r>
                </w:p>
              </w:tc>
              <w:tc>
                <w:tcPr>
                  <w:tcW w:w="1134" w:type="dxa"/>
                  <w:tcBorders>
                    <w:bottom w:val="single" w:sz="4" w:space="0" w:color="auto"/>
                  </w:tcBorders>
                  <w:shd w:val="clear" w:color="auto" w:fill="DBDBDB" w:themeFill="accent3" w:themeFillTint="66"/>
                  <w:vAlign w:val="center"/>
                </w:tcPr>
                <w:p w14:paraId="7D0FC7C1" w14:textId="77777777" w:rsidR="008C0D26" w:rsidRPr="00B5006E" w:rsidRDefault="008C0D26" w:rsidP="008C0D26">
                  <w:pPr>
                    <w:jc w:val="center"/>
                    <w:rPr>
                      <w:rFonts w:ascii="Times New Roman" w:hAnsi="Times New Roman" w:cs="Times New Roman"/>
                      <w:sz w:val="16"/>
                      <w:szCs w:val="16"/>
                    </w:rPr>
                  </w:pPr>
                  <w:r w:rsidRPr="00B5006E">
                    <w:rPr>
                      <w:rFonts w:ascii="Times New Roman" w:hAnsi="Times New Roman" w:cs="Times New Roman"/>
                      <w:b/>
                      <w:bCs/>
                      <w:sz w:val="16"/>
                      <w:szCs w:val="16"/>
                    </w:rPr>
                    <w:t>2025 r.</w:t>
                  </w:r>
                </w:p>
              </w:tc>
              <w:tc>
                <w:tcPr>
                  <w:tcW w:w="1276" w:type="dxa"/>
                  <w:tcBorders>
                    <w:bottom w:val="single" w:sz="4" w:space="0" w:color="auto"/>
                  </w:tcBorders>
                  <w:shd w:val="clear" w:color="auto" w:fill="DBDBDB" w:themeFill="accent3" w:themeFillTint="66"/>
                  <w:vAlign w:val="center"/>
                </w:tcPr>
                <w:p w14:paraId="616F348B" w14:textId="77777777" w:rsidR="008C0D26" w:rsidRPr="00B5006E" w:rsidRDefault="008C0D26" w:rsidP="008C0D26">
                  <w:pPr>
                    <w:jc w:val="center"/>
                    <w:rPr>
                      <w:rFonts w:ascii="Times New Roman" w:hAnsi="Times New Roman" w:cs="Times New Roman"/>
                      <w:sz w:val="16"/>
                      <w:szCs w:val="16"/>
                    </w:rPr>
                  </w:pPr>
                  <w:r w:rsidRPr="00B5006E">
                    <w:rPr>
                      <w:rFonts w:ascii="Times New Roman" w:hAnsi="Times New Roman" w:cs="Times New Roman"/>
                      <w:b/>
                      <w:bCs/>
                      <w:sz w:val="16"/>
                      <w:szCs w:val="16"/>
                    </w:rPr>
                    <w:t>2026 r.</w:t>
                  </w:r>
                </w:p>
              </w:tc>
              <w:tc>
                <w:tcPr>
                  <w:tcW w:w="1418" w:type="dxa"/>
                  <w:tcBorders>
                    <w:bottom w:val="single" w:sz="4" w:space="0" w:color="auto"/>
                  </w:tcBorders>
                  <w:shd w:val="clear" w:color="auto" w:fill="DBDBDB" w:themeFill="accent3" w:themeFillTint="66"/>
                  <w:vAlign w:val="center"/>
                </w:tcPr>
                <w:p w14:paraId="023F9509" w14:textId="77777777" w:rsidR="008C0D26" w:rsidRPr="00B5006E" w:rsidRDefault="008C0D26" w:rsidP="008C0D26">
                  <w:pPr>
                    <w:jc w:val="center"/>
                    <w:rPr>
                      <w:rFonts w:ascii="Times New Roman" w:hAnsi="Times New Roman" w:cs="Times New Roman"/>
                      <w:sz w:val="16"/>
                      <w:szCs w:val="16"/>
                    </w:rPr>
                  </w:pPr>
                  <w:r w:rsidRPr="00B5006E">
                    <w:rPr>
                      <w:rFonts w:ascii="Times New Roman" w:hAnsi="Times New Roman" w:cs="Times New Roman"/>
                      <w:b/>
                      <w:bCs/>
                      <w:sz w:val="16"/>
                      <w:szCs w:val="16"/>
                    </w:rPr>
                    <w:t>2027 r.</w:t>
                  </w:r>
                </w:p>
              </w:tc>
              <w:tc>
                <w:tcPr>
                  <w:tcW w:w="1134" w:type="dxa"/>
                  <w:tcBorders>
                    <w:bottom w:val="single" w:sz="4" w:space="0" w:color="auto"/>
                  </w:tcBorders>
                  <w:shd w:val="clear" w:color="auto" w:fill="DBDBDB" w:themeFill="accent3" w:themeFillTint="66"/>
                  <w:vAlign w:val="center"/>
                </w:tcPr>
                <w:p w14:paraId="5C453A42" w14:textId="77777777" w:rsidR="008C0D26" w:rsidRPr="00B5006E" w:rsidRDefault="008C0D26" w:rsidP="008C0D26">
                  <w:pPr>
                    <w:jc w:val="center"/>
                    <w:rPr>
                      <w:rFonts w:ascii="Times New Roman" w:hAnsi="Times New Roman" w:cs="Times New Roman"/>
                      <w:sz w:val="16"/>
                      <w:szCs w:val="16"/>
                    </w:rPr>
                  </w:pPr>
                  <w:r w:rsidRPr="00B5006E">
                    <w:rPr>
                      <w:rFonts w:ascii="Times New Roman" w:hAnsi="Times New Roman" w:cs="Times New Roman"/>
                      <w:b/>
                      <w:bCs/>
                      <w:sz w:val="16"/>
                      <w:szCs w:val="16"/>
                    </w:rPr>
                    <w:t>2028 r.</w:t>
                  </w:r>
                </w:p>
              </w:tc>
              <w:tc>
                <w:tcPr>
                  <w:tcW w:w="1275" w:type="dxa"/>
                  <w:tcBorders>
                    <w:bottom w:val="single" w:sz="4" w:space="0" w:color="auto"/>
                  </w:tcBorders>
                  <w:shd w:val="clear" w:color="auto" w:fill="A6A6A6" w:themeFill="background1" w:themeFillShade="A6"/>
                  <w:vAlign w:val="center"/>
                </w:tcPr>
                <w:p w14:paraId="66D8D476" w14:textId="77777777" w:rsidR="008C0D26" w:rsidRPr="00B5006E" w:rsidRDefault="008C0D26" w:rsidP="008C0D26">
                  <w:pPr>
                    <w:jc w:val="center"/>
                    <w:rPr>
                      <w:rFonts w:ascii="Times New Roman" w:hAnsi="Times New Roman" w:cs="Times New Roman"/>
                      <w:sz w:val="16"/>
                      <w:szCs w:val="16"/>
                    </w:rPr>
                  </w:pPr>
                  <w:r w:rsidRPr="00B5006E">
                    <w:rPr>
                      <w:rFonts w:ascii="Times New Roman" w:hAnsi="Times New Roman" w:cs="Times New Roman"/>
                      <w:b/>
                      <w:bCs/>
                      <w:sz w:val="16"/>
                      <w:szCs w:val="16"/>
                    </w:rPr>
                    <w:t>2024-2028</w:t>
                  </w:r>
                </w:p>
              </w:tc>
            </w:tr>
            <w:tr w:rsidR="008C0D26" w:rsidRPr="00B5006E" w14:paraId="793703F8" w14:textId="77777777" w:rsidTr="0000020F">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14:paraId="01EC227E" w14:textId="77777777" w:rsidR="008C0D26" w:rsidRPr="00B5006E" w:rsidRDefault="008C0D26" w:rsidP="008C0D26">
                  <w:pPr>
                    <w:jc w:val="center"/>
                    <w:rPr>
                      <w:rFonts w:ascii="Times New Roman" w:hAnsi="Times New Roman" w:cs="Times New Roman"/>
                      <w:sz w:val="16"/>
                      <w:szCs w:val="16"/>
                    </w:rPr>
                  </w:pPr>
                  <w:r>
                    <w:rPr>
                      <w:rFonts w:ascii="Times New Roman" w:hAnsi="Times New Roman" w:cs="Times New Roman"/>
                      <w:color w:val="000000"/>
                      <w:sz w:val="16"/>
                      <w:szCs w:val="16"/>
                    </w:rPr>
                    <w:t>25.</w:t>
                  </w:r>
                  <w:r w:rsidRPr="00B5006E">
                    <w:rPr>
                      <w:rFonts w:ascii="Times New Roman" w:hAnsi="Times New Roman" w:cs="Times New Roman"/>
                      <w:color w:val="000000"/>
                      <w:sz w:val="16"/>
                      <w:szCs w:val="16"/>
                    </w:rPr>
                    <w:t>000,00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AF3FBB0" w14:textId="77777777" w:rsidR="008C0D26" w:rsidRPr="00B5006E" w:rsidRDefault="008C0D26" w:rsidP="008C0D26">
                  <w:pPr>
                    <w:jc w:val="center"/>
                    <w:rPr>
                      <w:rFonts w:ascii="Times New Roman" w:hAnsi="Times New Roman" w:cs="Times New Roman"/>
                      <w:sz w:val="16"/>
                      <w:szCs w:val="16"/>
                    </w:rPr>
                  </w:pPr>
                  <w:r>
                    <w:rPr>
                      <w:rFonts w:ascii="Times New Roman" w:hAnsi="Times New Roman" w:cs="Times New Roman"/>
                      <w:color w:val="000000"/>
                      <w:sz w:val="16"/>
                      <w:szCs w:val="16"/>
                    </w:rPr>
                    <w:t>25.</w:t>
                  </w:r>
                  <w:r w:rsidRPr="00B5006E">
                    <w:rPr>
                      <w:rFonts w:ascii="Times New Roman" w:hAnsi="Times New Roman" w:cs="Times New Roman"/>
                      <w:color w:val="000000"/>
                      <w:sz w:val="16"/>
                      <w:szCs w:val="16"/>
                    </w:rPr>
                    <w:t>000,00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5D0B6674" w14:textId="77777777" w:rsidR="008C0D26" w:rsidRPr="00B5006E" w:rsidRDefault="008C0D26" w:rsidP="008C0D26">
                  <w:pPr>
                    <w:jc w:val="center"/>
                    <w:rPr>
                      <w:rFonts w:ascii="Times New Roman" w:hAnsi="Times New Roman" w:cs="Times New Roman"/>
                      <w:sz w:val="16"/>
                      <w:szCs w:val="16"/>
                    </w:rPr>
                  </w:pPr>
                  <w:r>
                    <w:rPr>
                      <w:rFonts w:ascii="Times New Roman" w:hAnsi="Times New Roman" w:cs="Times New Roman"/>
                      <w:color w:val="000000"/>
                      <w:sz w:val="16"/>
                      <w:szCs w:val="16"/>
                    </w:rPr>
                    <w:t>25.</w:t>
                  </w:r>
                  <w:r w:rsidRPr="00B5006E">
                    <w:rPr>
                      <w:rFonts w:ascii="Times New Roman" w:hAnsi="Times New Roman" w:cs="Times New Roman"/>
                      <w:color w:val="000000"/>
                      <w:sz w:val="16"/>
                      <w:szCs w:val="16"/>
                    </w:rPr>
                    <w:t>000,00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96666FB" w14:textId="77777777" w:rsidR="008C0D26" w:rsidRPr="00B5006E" w:rsidRDefault="008C0D26" w:rsidP="008C0D26">
                  <w:pPr>
                    <w:jc w:val="center"/>
                    <w:rPr>
                      <w:rFonts w:ascii="Times New Roman" w:hAnsi="Times New Roman" w:cs="Times New Roman"/>
                      <w:sz w:val="16"/>
                      <w:szCs w:val="16"/>
                    </w:rPr>
                  </w:pPr>
                  <w:r>
                    <w:rPr>
                      <w:rFonts w:ascii="Times New Roman" w:hAnsi="Times New Roman" w:cs="Times New Roman"/>
                      <w:color w:val="000000"/>
                      <w:sz w:val="16"/>
                      <w:szCs w:val="16"/>
                    </w:rPr>
                    <w:t>25.</w:t>
                  </w:r>
                  <w:r w:rsidRPr="00B5006E">
                    <w:rPr>
                      <w:rFonts w:ascii="Times New Roman" w:hAnsi="Times New Roman" w:cs="Times New Roman"/>
                      <w:color w:val="000000"/>
                      <w:sz w:val="16"/>
                      <w:szCs w:val="16"/>
                    </w:rPr>
                    <w:t>000,00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88961CF" w14:textId="77777777" w:rsidR="008C0D26" w:rsidRPr="00B5006E" w:rsidRDefault="008C0D26" w:rsidP="008C0D26">
                  <w:pPr>
                    <w:jc w:val="center"/>
                    <w:rPr>
                      <w:rFonts w:ascii="Times New Roman" w:hAnsi="Times New Roman" w:cs="Times New Roman"/>
                      <w:sz w:val="16"/>
                      <w:szCs w:val="16"/>
                    </w:rPr>
                  </w:pPr>
                  <w:r>
                    <w:rPr>
                      <w:rFonts w:ascii="Times New Roman" w:hAnsi="Times New Roman" w:cs="Times New Roman"/>
                      <w:color w:val="000000"/>
                      <w:sz w:val="16"/>
                      <w:szCs w:val="16"/>
                    </w:rPr>
                    <w:t>25.</w:t>
                  </w:r>
                  <w:r w:rsidRPr="00B5006E">
                    <w:rPr>
                      <w:rFonts w:ascii="Times New Roman" w:hAnsi="Times New Roman" w:cs="Times New Roman"/>
                      <w:color w:val="000000"/>
                      <w:sz w:val="16"/>
                      <w:szCs w:val="16"/>
                    </w:rPr>
                    <w:t>000,00</w:t>
                  </w:r>
                </w:p>
              </w:tc>
              <w:tc>
                <w:tcPr>
                  <w:tcW w:w="127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197A05A3" w14:textId="77777777" w:rsidR="008C0D26" w:rsidRPr="00B5006E" w:rsidRDefault="008C0D26" w:rsidP="008C0D26">
                  <w:pPr>
                    <w:jc w:val="center"/>
                    <w:rPr>
                      <w:rFonts w:ascii="Times New Roman" w:hAnsi="Times New Roman" w:cs="Times New Roman"/>
                      <w:b/>
                      <w:bCs/>
                      <w:sz w:val="16"/>
                      <w:szCs w:val="16"/>
                    </w:rPr>
                  </w:pPr>
                  <w:r>
                    <w:rPr>
                      <w:rFonts w:ascii="Times New Roman" w:hAnsi="Times New Roman" w:cs="Times New Roman"/>
                      <w:b/>
                      <w:bCs/>
                      <w:sz w:val="16"/>
                      <w:szCs w:val="16"/>
                    </w:rPr>
                    <w:t>125.</w:t>
                  </w:r>
                  <w:r w:rsidRPr="00B5006E">
                    <w:rPr>
                      <w:rFonts w:ascii="Times New Roman" w:hAnsi="Times New Roman" w:cs="Times New Roman"/>
                      <w:b/>
                      <w:bCs/>
                      <w:sz w:val="16"/>
                      <w:szCs w:val="16"/>
                    </w:rPr>
                    <w:t>000,00</w:t>
                  </w:r>
                </w:p>
              </w:tc>
            </w:tr>
          </w:tbl>
          <w:p w14:paraId="50393456" w14:textId="77777777" w:rsidR="008C0D26" w:rsidRPr="00F23857" w:rsidRDefault="008C0D26" w:rsidP="008C0D26">
            <w:pPr>
              <w:spacing w:before="120" w:after="120"/>
              <w:jc w:val="both"/>
              <w:rPr>
                <w:rFonts w:ascii="Times New Roman" w:hAnsi="Times New Roman" w:cs="Times New Roman"/>
                <w:sz w:val="16"/>
                <w:szCs w:val="16"/>
              </w:rPr>
            </w:pPr>
            <w:r w:rsidRPr="0022195E">
              <w:rPr>
                <w:rFonts w:ascii="Times New Roman" w:hAnsi="Times New Roman" w:cs="Times New Roman"/>
                <w:sz w:val="16"/>
                <w:szCs w:val="16"/>
              </w:rPr>
              <w:t xml:space="preserve">W ramach utrzymania </w:t>
            </w:r>
            <w:r w:rsidRPr="00F23857">
              <w:rPr>
                <w:rFonts w:ascii="Times New Roman" w:hAnsi="Times New Roman" w:cs="Times New Roman"/>
                <w:sz w:val="16"/>
                <w:szCs w:val="16"/>
              </w:rPr>
              <w:t>systemu i usług koniecznym będą:</w:t>
            </w:r>
          </w:p>
          <w:p w14:paraId="3D99B2FD" w14:textId="77777777" w:rsidR="008C0D26" w:rsidRPr="00F23857" w:rsidRDefault="008C0D26" w:rsidP="008C0D26">
            <w:pPr>
              <w:pStyle w:val="Akapitzlist"/>
              <w:numPr>
                <w:ilvl w:val="0"/>
                <w:numId w:val="12"/>
              </w:numPr>
              <w:spacing w:before="120" w:after="120" w:line="259" w:lineRule="auto"/>
              <w:ind w:left="190" w:hanging="190"/>
              <w:jc w:val="both"/>
              <w:rPr>
                <w:rFonts w:ascii="Times New Roman" w:hAnsi="Times New Roman" w:cs="Times New Roman"/>
                <w:sz w:val="16"/>
                <w:szCs w:val="16"/>
              </w:rPr>
            </w:pPr>
            <w:r w:rsidRPr="00F23857">
              <w:rPr>
                <w:rFonts w:ascii="Times New Roman" w:hAnsi="Times New Roman" w:cs="Times New Roman"/>
                <w:sz w:val="16"/>
                <w:szCs w:val="16"/>
              </w:rPr>
              <w:t>delegacje związane z utrzymaniem i przeglądami infrastruktury technicznej dotyczącej ADSB;</w:t>
            </w:r>
          </w:p>
          <w:p w14:paraId="4C747564" w14:textId="77777777" w:rsidR="008C0D26" w:rsidRPr="00F23857" w:rsidRDefault="008C0D26" w:rsidP="008C0D26">
            <w:pPr>
              <w:pStyle w:val="Akapitzlist"/>
              <w:numPr>
                <w:ilvl w:val="0"/>
                <w:numId w:val="12"/>
              </w:numPr>
              <w:spacing w:before="120" w:after="120" w:line="259" w:lineRule="auto"/>
              <w:ind w:left="190" w:hanging="190"/>
              <w:jc w:val="both"/>
              <w:rPr>
                <w:rFonts w:ascii="Times New Roman" w:hAnsi="Times New Roman" w:cs="Times New Roman"/>
                <w:sz w:val="16"/>
                <w:szCs w:val="16"/>
              </w:rPr>
            </w:pPr>
            <w:r w:rsidRPr="00F23857">
              <w:rPr>
                <w:rFonts w:ascii="Times New Roman" w:hAnsi="Times New Roman" w:cs="Times New Roman"/>
                <w:sz w:val="16"/>
                <w:szCs w:val="16"/>
              </w:rPr>
              <w:t>delegacje związane z inspekcją środowiska operacyjnego w obszarach pilotażowych (miejsca do awaryjnego lądowania, lądowiska, weryfikacja miejsc w danym DTM pod kątem zgłoszeń od użytkowników i obywateli m.in. w zakresie potencjalnych zagrożeń naziemnych);</w:t>
            </w:r>
          </w:p>
          <w:p w14:paraId="2AC8633B" w14:textId="3B96B345" w:rsidR="008C0D26" w:rsidRPr="00F23857" w:rsidRDefault="008C0D26" w:rsidP="008C0D26">
            <w:pPr>
              <w:pStyle w:val="Akapitzlist"/>
              <w:numPr>
                <w:ilvl w:val="0"/>
                <w:numId w:val="12"/>
              </w:numPr>
              <w:spacing w:before="120" w:after="120" w:line="259" w:lineRule="auto"/>
              <w:ind w:left="190" w:hanging="190"/>
              <w:jc w:val="both"/>
              <w:rPr>
                <w:rFonts w:ascii="Times New Roman" w:hAnsi="Times New Roman" w:cs="Times New Roman"/>
                <w:sz w:val="16"/>
                <w:szCs w:val="16"/>
              </w:rPr>
            </w:pPr>
            <w:r w:rsidRPr="00F23857">
              <w:rPr>
                <w:rFonts w:ascii="Times New Roman" w:hAnsi="Times New Roman" w:cs="Times New Roman"/>
                <w:sz w:val="16"/>
                <w:szCs w:val="16"/>
              </w:rPr>
              <w:t>delegacje związane z info</w:t>
            </w:r>
            <w:r>
              <w:rPr>
                <w:rFonts w:ascii="Times New Roman" w:hAnsi="Times New Roman" w:cs="Times New Roman"/>
                <w:sz w:val="16"/>
                <w:szCs w:val="16"/>
              </w:rPr>
              <w:t xml:space="preserve">rmacją i </w:t>
            </w:r>
            <w:r w:rsidRPr="00F23857">
              <w:rPr>
                <w:rFonts w:ascii="Times New Roman" w:hAnsi="Times New Roman" w:cs="Times New Roman"/>
                <w:sz w:val="16"/>
                <w:szCs w:val="16"/>
              </w:rPr>
              <w:t>promo</w:t>
            </w:r>
            <w:r>
              <w:rPr>
                <w:rFonts w:ascii="Times New Roman" w:hAnsi="Times New Roman" w:cs="Times New Roman"/>
                <w:sz w:val="16"/>
                <w:szCs w:val="16"/>
              </w:rPr>
              <w:t>cją</w:t>
            </w:r>
            <w:r w:rsidRPr="00F23857">
              <w:rPr>
                <w:rFonts w:ascii="Times New Roman" w:hAnsi="Times New Roman" w:cs="Times New Roman"/>
                <w:sz w:val="16"/>
                <w:szCs w:val="16"/>
              </w:rPr>
              <w:t xml:space="preserve"> – komunikacja z lokalnymi mieszkańcami i </w:t>
            </w:r>
            <w:r>
              <w:rPr>
                <w:rFonts w:ascii="Times New Roman" w:hAnsi="Times New Roman" w:cs="Times New Roman"/>
                <w:sz w:val="16"/>
                <w:szCs w:val="16"/>
              </w:rPr>
              <w:t>JST</w:t>
            </w:r>
            <w:r w:rsidRPr="00F23857">
              <w:rPr>
                <w:rFonts w:ascii="Times New Roman" w:hAnsi="Times New Roman" w:cs="Times New Roman"/>
                <w:sz w:val="16"/>
                <w:szCs w:val="16"/>
              </w:rPr>
              <w:t xml:space="preserve"> w ramach eliminacji ewentualnych niepokojów społecznych i wyjaśniania działania systemu i zagadnień związanych z bezpieczeństwem;</w:t>
            </w:r>
          </w:p>
          <w:p w14:paraId="6493A978" w14:textId="0973E448" w:rsidR="008C0D26" w:rsidRPr="00F23857" w:rsidRDefault="008C0D26" w:rsidP="008C0D26">
            <w:pPr>
              <w:pStyle w:val="Akapitzlist"/>
              <w:numPr>
                <w:ilvl w:val="0"/>
                <w:numId w:val="12"/>
              </w:numPr>
              <w:spacing w:before="120" w:after="120" w:line="259" w:lineRule="auto"/>
              <w:ind w:left="190" w:hanging="190"/>
              <w:jc w:val="both"/>
              <w:rPr>
                <w:rFonts w:ascii="Times New Roman" w:hAnsi="Times New Roman" w:cs="Times New Roman"/>
                <w:sz w:val="16"/>
                <w:szCs w:val="16"/>
              </w:rPr>
            </w:pPr>
            <w:r w:rsidRPr="00F23857">
              <w:rPr>
                <w:rFonts w:ascii="Times New Roman" w:hAnsi="Times New Roman" w:cs="Times New Roman"/>
                <w:sz w:val="16"/>
                <w:szCs w:val="16"/>
              </w:rPr>
              <w:t>delegacje pracowników – zakłada się konieczność cyklicznych spotkań osób zaangażowanych</w:t>
            </w:r>
            <w:r>
              <w:rPr>
                <w:rFonts w:ascii="Times New Roman" w:hAnsi="Times New Roman" w:cs="Times New Roman"/>
                <w:sz w:val="16"/>
                <w:szCs w:val="16"/>
              </w:rPr>
              <w:t xml:space="preserve"> w utrzymanie i obsługę usług; z</w:t>
            </w:r>
            <w:r w:rsidRPr="00F23857">
              <w:rPr>
                <w:rFonts w:ascii="Times New Roman" w:hAnsi="Times New Roman" w:cs="Times New Roman"/>
                <w:sz w:val="16"/>
                <w:szCs w:val="16"/>
              </w:rPr>
              <w:t xml:space="preserve"> racji faktu, że duża część personelu jest zatrudniona poza Warszawą niezbędne będą delegacje.</w:t>
            </w:r>
          </w:p>
          <w:p w14:paraId="0371AA08" w14:textId="3C771D4D" w:rsidR="004F41EB" w:rsidRPr="00B5006E" w:rsidRDefault="008C0D26" w:rsidP="008C0D26">
            <w:pPr>
              <w:spacing w:before="120" w:after="120"/>
              <w:jc w:val="both"/>
              <w:rPr>
                <w:rFonts w:ascii="Times New Roman" w:hAnsi="Times New Roman" w:cs="Times New Roman"/>
                <w:sz w:val="16"/>
                <w:szCs w:val="16"/>
              </w:rPr>
            </w:pPr>
            <w:r w:rsidRPr="00F23857">
              <w:rPr>
                <w:rFonts w:ascii="Times New Roman" w:hAnsi="Times New Roman" w:cs="Times New Roman"/>
                <w:sz w:val="16"/>
                <w:szCs w:val="16"/>
              </w:rPr>
              <w:t>W celu utrzymania trwałości świadczonych usług, niezbędne jest odbycie ok. 10 delegacji w ciągu roku (po 3 delegacje w celach inspekcji w obszarach pilotażowych), których średni koszt szacowany jest po 2.5</w:t>
            </w:r>
            <w:r>
              <w:rPr>
                <w:rFonts w:ascii="Times New Roman" w:hAnsi="Times New Roman" w:cs="Times New Roman"/>
                <w:sz w:val="16"/>
                <w:szCs w:val="16"/>
              </w:rPr>
              <w:t>00</w:t>
            </w:r>
            <w:r w:rsidRPr="00F23857">
              <w:rPr>
                <w:rFonts w:ascii="Times New Roman" w:hAnsi="Times New Roman" w:cs="Times New Roman"/>
                <w:sz w:val="16"/>
                <w:szCs w:val="16"/>
              </w:rPr>
              <w:t xml:space="preserve"> zł (koszty transportu, diety, noclegu delegowanych pracowników – średnio 3 delegowanych).</w:t>
            </w:r>
          </w:p>
        </w:tc>
      </w:tr>
      <w:tr w:rsidR="00335979" w:rsidRPr="00B5006E" w14:paraId="663AE64F" w14:textId="77777777" w:rsidTr="00694876">
        <w:tc>
          <w:tcPr>
            <w:tcW w:w="1425" w:type="dxa"/>
            <w:shd w:val="clear" w:color="auto" w:fill="D9D9D9" w:themeFill="background1" w:themeFillShade="D9"/>
            <w:vAlign w:val="center"/>
          </w:tcPr>
          <w:p w14:paraId="0713FEE5" w14:textId="3489CC4A" w:rsidR="009A1121" w:rsidRPr="00694876" w:rsidRDefault="009A1121" w:rsidP="009A1121">
            <w:pPr>
              <w:jc w:val="both"/>
              <w:rPr>
                <w:rFonts w:ascii="Times New Roman" w:hAnsi="Times New Roman" w:cs="Times New Roman"/>
                <w:b/>
                <w:bCs/>
                <w:sz w:val="16"/>
                <w:szCs w:val="16"/>
              </w:rPr>
            </w:pPr>
            <w:r w:rsidRPr="00694876">
              <w:rPr>
                <w:rFonts w:ascii="Times New Roman" w:hAnsi="Times New Roman" w:cs="Times New Roman"/>
                <w:b/>
                <w:bCs/>
                <w:sz w:val="16"/>
                <w:szCs w:val="16"/>
              </w:rPr>
              <w:lastRenderedPageBreak/>
              <w:t>Suma</w:t>
            </w:r>
          </w:p>
        </w:tc>
        <w:tc>
          <w:tcPr>
            <w:tcW w:w="1269" w:type="dxa"/>
            <w:shd w:val="clear" w:color="auto" w:fill="D9D9D9" w:themeFill="background1" w:themeFillShade="D9"/>
            <w:vAlign w:val="center"/>
          </w:tcPr>
          <w:p w14:paraId="25264D4B" w14:textId="6463C7C6" w:rsidR="009A1121" w:rsidRPr="00694876" w:rsidRDefault="002379A6" w:rsidP="00B5006E">
            <w:pPr>
              <w:rPr>
                <w:rFonts w:ascii="Times New Roman" w:hAnsi="Times New Roman" w:cs="Times New Roman"/>
                <w:sz w:val="16"/>
                <w:szCs w:val="16"/>
              </w:rPr>
            </w:pPr>
            <w:r w:rsidRPr="002379A6">
              <w:rPr>
                <w:rFonts w:ascii="Times New Roman" w:hAnsi="Times New Roman" w:cs="Times New Roman"/>
                <w:b/>
                <w:bCs/>
                <w:sz w:val="16"/>
                <w:szCs w:val="16"/>
              </w:rPr>
              <w:t>43</w:t>
            </w:r>
            <w:r>
              <w:rPr>
                <w:rFonts w:ascii="Times New Roman" w:hAnsi="Times New Roman" w:cs="Times New Roman"/>
                <w:b/>
                <w:bCs/>
                <w:sz w:val="16"/>
                <w:szCs w:val="16"/>
              </w:rPr>
              <w:t>.</w:t>
            </w:r>
            <w:r w:rsidRPr="002379A6">
              <w:rPr>
                <w:rFonts w:ascii="Times New Roman" w:hAnsi="Times New Roman" w:cs="Times New Roman"/>
                <w:b/>
                <w:bCs/>
                <w:sz w:val="16"/>
                <w:szCs w:val="16"/>
              </w:rPr>
              <w:t>280</w:t>
            </w:r>
            <w:r>
              <w:rPr>
                <w:rFonts w:ascii="Times New Roman" w:hAnsi="Times New Roman" w:cs="Times New Roman"/>
                <w:b/>
                <w:bCs/>
                <w:sz w:val="16"/>
                <w:szCs w:val="16"/>
              </w:rPr>
              <w:t>.</w:t>
            </w:r>
            <w:r w:rsidRPr="002379A6">
              <w:rPr>
                <w:rFonts w:ascii="Times New Roman" w:hAnsi="Times New Roman" w:cs="Times New Roman"/>
                <w:b/>
                <w:bCs/>
                <w:sz w:val="16"/>
                <w:szCs w:val="16"/>
              </w:rPr>
              <w:t>600,00</w:t>
            </w:r>
          </w:p>
        </w:tc>
        <w:tc>
          <w:tcPr>
            <w:tcW w:w="7796" w:type="dxa"/>
            <w:shd w:val="clear" w:color="auto" w:fill="auto"/>
          </w:tcPr>
          <w:p w14:paraId="496FEF44" w14:textId="77777777" w:rsidR="009A1121" w:rsidRPr="00B5006E" w:rsidRDefault="009A1121" w:rsidP="009A1121">
            <w:pPr>
              <w:jc w:val="both"/>
              <w:rPr>
                <w:rFonts w:ascii="Times New Roman" w:hAnsi="Times New Roman" w:cs="Times New Roman"/>
                <w:sz w:val="20"/>
                <w:szCs w:val="20"/>
              </w:rPr>
            </w:pPr>
          </w:p>
        </w:tc>
      </w:tr>
    </w:tbl>
    <w:p w14:paraId="23E5983A" w14:textId="77777777" w:rsidR="009A1121" w:rsidRPr="00B9146C" w:rsidRDefault="009A1121" w:rsidP="009A1121">
      <w:pPr>
        <w:jc w:val="both"/>
        <w:rPr>
          <w:rFonts w:ascii="Times New Roman" w:hAnsi="Times New Roman" w:cs="Times New Roman"/>
        </w:rPr>
      </w:pPr>
    </w:p>
    <w:p w14:paraId="4A34BB93" w14:textId="6DDC2B24" w:rsidR="00101A64" w:rsidRPr="00B9146C" w:rsidRDefault="00031167" w:rsidP="009A1121">
      <w:pPr>
        <w:pStyle w:val="Akapitzlist"/>
        <w:numPr>
          <w:ilvl w:val="1"/>
          <w:numId w:val="1"/>
        </w:numPr>
        <w:rPr>
          <w:rFonts w:ascii="Times New Roman" w:hAnsi="Times New Roman" w:cs="Times New Roman"/>
          <w:b/>
          <w:bCs/>
        </w:rPr>
      </w:pPr>
      <w:r w:rsidRPr="00B9146C">
        <w:rPr>
          <w:rFonts w:ascii="Times New Roman" w:hAnsi="Times New Roman" w:cs="Times New Roman"/>
          <w:b/>
          <w:bCs/>
        </w:rPr>
        <w:t>Szacowane koszty w podziale na usługi</w:t>
      </w:r>
      <w:r w:rsidR="004E2080" w:rsidRPr="00B9146C">
        <w:rPr>
          <w:rFonts w:ascii="Times New Roman" w:hAnsi="Times New Roman" w:cs="Times New Roman"/>
          <w:b/>
          <w:bCs/>
        </w:rPr>
        <w:t>/ zadania projektu</w:t>
      </w:r>
    </w:p>
    <w:tbl>
      <w:tblPr>
        <w:tblStyle w:val="Tabela-Siatka"/>
        <w:tblW w:w="10632" w:type="dxa"/>
        <w:tblInd w:w="-856" w:type="dxa"/>
        <w:tblLook w:val="04A0" w:firstRow="1" w:lastRow="0" w:firstColumn="1" w:lastColumn="0" w:noHBand="0" w:noVBand="1"/>
      </w:tblPr>
      <w:tblGrid>
        <w:gridCol w:w="2411"/>
        <w:gridCol w:w="1275"/>
        <w:gridCol w:w="1276"/>
        <w:gridCol w:w="1418"/>
        <w:gridCol w:w="1417"/>
        <w:gridCol w:w="1418"/>
        <w:gridCol w:w="1417"/>
      </w:tblGrid>
      <w:tr w:rsidR="006F01A4" w:rsidRPr="00B9146C" w14:paraId="7B7DB712" w14:textId="77777777" w:rsidTr="009A1121">
        <w:trPr>
          <w:trHeight w:val="576"/>
        </w:trPr>
        <w:tc>
          <w:tcPr>
            <w:tcW w:w="2411" w:type="dxa"/>
            <w:shd w:val="clear" w:color="auto" w:fill="D9D9D9" w:themeFill="background1" w:themeFillShade="D9"/>
            <w:vAlign w:val="center"/>
            <w:hideMark/>
          </w:tcPr>
          <w:p w14:paraId="0D8F5ABD" w14:textId="22958CDF" w:rsidR="006F01A4" w:rsidRPr="00B9146C" w:rsidRDefault="002E462D" w:rsidP="009A1121">
            <w:pPr>
              <w:rPr>
                <w:rFonts w:ascii="Times New Roman" w:hAnsi="Times New Roman" w:cs="Times New Roman"/>
                <w:b/>
                <w:bCs/>
                <w:sz w:val="20"/>
                <w:szCs w:val="20"/>
              </w:rPr>
            </w:pPr>
            <w:r w:rsidRPr="00B9146C">
              <w:rPr>
                <w:rFonts w:ascii="Times New Roman" w:hAnsi="Times New Roman" w:cs="Times New Roman"/>
                <w:b/>
                <w:bCs/>
                <w:sz w:val="20"/>
                <w:szCs w:val="20"/>
              </w:rPr>
              <w:t>Zadanie</w:t>
            </w:r>
          </w:p>
        </w:tc>
        <w:tc>
          <w:tcPr>
            <w:tcW w:w="1275" w:type="dxa"/>
            <w:shd w:val="clear" w:color="auto" w:fill="DBDBDB" w:themeFill="accent3" w:themeFillTint="66"/>
            <w:vAlign w:val="center"/>
            <w:hideMark/>
          </w:tcPr>
          <w:p w14:paraId="4F98B031" w14:textId="57911F9D" w:rsidR="006F01A4" w:rsidRPr="00B9146C" w:rsidRDefault="006F01A4" w:rsidP="00F96F32">
            <w:pPr>
              <w:jc w:val="center"/>
              <w:rPr>
                <w:rFonts w:ascii="Times New Roman" w:hAnsi="Times New Roman" w:cs="Times New Roman"/>
                <w:sz w:val="20"/>
                <w:szCs w:val="20"/>
              </w:rPr>
            </w:pPr>
            <w:r w:rsidRPr="00B9146C">
              <w:rPr>
                <w:rFonts w:ascii="Times New Roman" w:hAnsi="Times New Roman" w:cs="Times New Roman"/>
                <w:b/>
                <w:bCs/>
                <w:sz w:val="20"/>
                <w:szCs w:val="20"/>
              </w:rPr>
              <w:t>2024 r.</w:t>
            </w:r>
          </w:p>
        </w:tc>
        <w:tc>
          <w:tcPr>
            <w:tcW w:w="1276" w:type="dxa"/>
            <w:shd w:val="clear" w:color="auto" w:fill="DBDBDB" w:themeFill="accent3" w:themeFillTint="66"/>
            <w:vAlign w:val="center"/>
            <w:hideMark/>
          </w:tcPr>
          <w:p w14:paraId="2FAC3619" w14:textId="636E1A90" w:rsidR="006F01A4" w:rsidRPr="00B9146C" w:rsidRDefault="006F01A4" w:rsidP="00F96F32">
            <w:pPr>
              <w:jc w:val="center"/>
              <w:rPr>
                <w:rFonts w:ascii="Times New Roman" w:hAnsi="Times New Roman" w:cs="Times New Roman"/>
                <w:sz w:val="20"/>
                <w:szCs w:val="20"/>
              </w:rPr>
            </w:pPr>
            <w:r w:rsidRPr="00B9146C">
              <w:rPr>
                <w:rFonts w:ascii="Times New Roman" w:hAnsi="Times New Roman" w:cs="Times New Roman"/>
                <w:b/>
                <w:bCs/>
                <w:sz w:val="20"/>
                <w:szCs w:val="20"/>
              </w:rPr>
              <w:t>2025 r.</w:t>
            </w:r>
          </w:p>
        </w:tc>
        <w:tc>
          <w:tcPr>
            <w:tcW w:w="1418" w:type="dxa"/>
            <w:shd w:val="clear" w:color="auto" w:fill="DBDBDB" w:themeFill="accent3" w:themeFillTint="66"/>
            <w:vAlign w:val="center"/>
            <w:hideMark/>
          </w:tcPr>
          <w:p w14:paraId="7CA41EF1" w14:textId="55F9EDE8" w:rsidR="006F01A4" w:rsidRPr="00B9146C" w:rsidRDefault="006F01A4" w:rsidP="00F96F32">
            <w:pPr>
              <w:jc w:val="center"/>
              <w:rPr>
                <w:rFonts w:ascii="Times New Roman" w:hAnsi="Times New Roman" w:cs="Times New Roman"/>
                <w:sz w:val="20"/>
                <w:szCs w:val="20"/>
              </w:rPr>
            </w:pPr>
            <w:r w:rsidRPr="00B9146C">
              <w:rPr>
                <w:rFonts w:ascii="Times New Roman" w:hAnsi="Times New Roman" w:cs="Times New Roman"/>
                <w:b/>
                <w:bCs/>
                <w:sz w:val="20"/>
                <w:szCs w:val="20"/>
              </w:rPr>
              <w:t>2026 r.</w:t>
            </w:r>
          </w:p>
        </w:tc>
        <w:tc>
          <w:tcPr>
            <w:tcW w:w="1417" w:type="dxa"/>
            <w:shd w:val="clear" w:color="auto" w:fill="DBDBDB" w:themeFill="accent3" w:themeFillTint="66"/>
            <w:vAlign w:val="center"/>
            <w:hideMark/>
          </w:tcPr>
          <w:p w14:paraId="3F43F6CA" w14:textId="63C9C028" w:rsidR="006F01A4" w:rsidRPr="00B9146C" w:rsidRDefault="006F01A4" w:rsidP="00F96F32">
            <w:pPr>
              <w:jc w:val="center"/>
              <w:rPr>
                <w:rFonts w:ascii="Times New Roman" w:hAnsi="Times New Roman" w:cs="Times New Roman"/>
                <w:sz w:val="20"/>
                <w:szCs w:val="20"/>
              </w:rPr>
            </w:pPr>
            <w:r w:rsidRPr="00B9146C">
              <w:rPr>
                <w:rFonts w:ascii="Times New Roman" w:hAnsi="Times New Roman" w:cs="Times New Roman"/>
                <w:b/>
                <w:bCs/>
                <w:sz w:val="20"/>
                <w:szCs w:val="20"/>
              </w:rPr>
              <w:t>2027 r.</w:t>
            </w:r>
          </w:p>
        </w:tc>
        <w:tc>
          <w:tcPr>
            <w:tcW w:w="1418" w:type="dxa"/>
            <w:shd w:val="clear" w:color="auto" w:fill="DBDBDB" w:themeFill="accent3" w:themeFillTint="66"/>
            <w:vAlign w:val="center"/>
            <w:hideMark/>
          </w:tcPr>
          <w:p w14:paraId="2D5F8B4F" w14:textId="4DCB90E7" w:rsidR="006F01A4" w:rsidRPr="00B9146C" w:rsidRDefault="006F01A4" w:rsidP="00F96F32">
            <w:pPr>
              <w:jc w:val="center"/>
              <w:rPr>
                <w:rFonts w:ascii="Times New Roman" w:hAnsi="Times New Roman" w:cs="Times New Roman"/>
                <w:sz w:val="20"/>
                <w:szCs w:val="20"/>
              </w:rPr>
            </w:pPr>
            <w:r w:rsidRPr="00B9146C">
              <w:rPr>
                <w:rFonts w:ascii="Times New Roman" w:hAnsi="Times New Roman" w:cs="Times New Roman"/>
                <w:b/>
                <w:bCs/>
                <w:sz w:val="20"/>
                <w:szCs w:val="20"/>
              </w:rPr>
              <w:t>2028 r.</w:t>
            </w:r>
          </w:p>
        </w:tc>
        <w:tc>
          <w:tcPr>
            <w:tcW w:w="1417" w:type="dxa"/>
            <w:shd w:val="clear" w:color="auto" w:fill="A6A6A6" w:themeFill="background1" w:themeFillShade="A6"/>
            <w:vAlign w:val="center"/>
            <w:hideMark/>
          </w:tcPr>
          <w:p w14:paraId="45702D11" w14:textId="53A980FF" w:rsidR="006F01A4" w:rsidRPr="00B9146C" w:rsidRDefault="006F01A4" w:rsidP="00F96F32">
            <w:pPr>
              <w:jc w:val="center"/>
              <w:rPr>
                <w:rFonts w:ascii="Times New Roman" w:hAnsi="Times New Roman" w:cs="Times New Roman"/>
                <w:b/>
                <w:bCs/>
                <w:color w:val="FFFFFF" w:themeColor="background1"/>
                <w:sz w:val="20"/>
                <w:szCs w:val="20"/>
              </w:rPr>
            </w:pPr>
            <w:r w:rsidRPr="00B9146C">
              <w:rPr>
                <w:rFonts w:ascii="Times New Roman" w:hAnsi="Times New Roman" w:cs="Times New Roman"/>
                <w:b/>
                <w:bCs/>
                <w:color w:val="FFFFFF" w:themeColor="background1"/>
                <w:sz w:val="20"/>
                <w:szCs w:val="20"/>
              </w:rPr>
              <w:t>2024-2028</w:t>
            </w:r>
          </w:p>
        </w:tc>
      </w:tr>
      <w:tr w:rsidR="006F01A4" w:rsidRPr="00B9146C" w14:paraId="7F381F5E" w14:textId="77777777" w:rsidTr="006F01A4">
        <w:trPr>
          <w:trHeight w:val="288"/>
        </w:trPr>
        <w:tc>
          <w:tcPr>
            <w:tcW w:w="2411" w:type="dxa"/>
            <w:shd w:val="clear" w:color="auto" w:fill="D9D9D9" w:themeFill="background1" w:themeFillShade="D9"/>
            <w:vAlign w:val="center"/>
            <w:hideMark/>
          </w:tcPr>
          <w:p w14:paraId="20E51BD6" w14:textId="77777777" w:rsidR="00237200" w:rsidRPr="00B9146C" w:rsidRDefault="00237200" w:rsidP="009A1121">
            <w:pPr>
              <w:rPr>
                <w:rFonts w:ascii="Times New Roman" w:hAnsi="Times New Roman" w:cs="Times New Roman"/>
                <w:b/>
                <w:bCs/>
                <w:sz w:val="20"/>
                <w:szCs w:val="20"/>
              </w:rPr>
            </w:pPr>
            <w:r w:rsidRPr="00B9146C">
              <w:rPr>
                <w:rFonts w:ascii="Times New Roman" w:hAnsi="Times New Roman" w:cs="Times New Roman"/>
                <w:b/>
                <w:bCs/>
                <w:sz w:val="20"/>
                <w:szCs w:val="20"/>
              </w:rPr>
              <w:t>Zadanie 1 - Moduł Magistrala KSID</w:t>
            </w:r>
          </w:p>
        </w:tc>
        <w:tc>
          <w:tcPr>
            <w:tcW w:w="1275" w:type="dxa"/>
            <w:vAlign w:val="center"/>
            <w:hideMark/>
          </w:tcPr>
          <w:p w14:paraId="1069A29B" w14:textId="7C11D387" w:rsidR="00237200" w:rsidRPr="00B9146C" w:rsidRDefault="00916A93" w:rsidP="00F96F32">
            <w:pPr>
              <w:jc w:val="center"/>
              <w:rPr>
                <w:rFonts w:ascii="Times New Roman" w:hAnsi="Times New Roman" w:cs="Times New Roman"/>
                <w:sz w:val="20"/>
                <w:szCs w:val="20"/>
              </w:rPr>
            </w:pPr>
            <w:r w:rsidRPr="00916A93">
              <w:rPr>
                <w:rFonts w:ascii="Times New Roman" w:hAnsi="Times New Roman" w:cs="Times New Roman"/>
                <w:sz w:val="20"/>
                <w:szCs w:val="20"/>
              </w:rPr>
              <w:t>952 250,00</w:t>
            </w:r>
          </w:p>
        </w:tc>
        <w:tc>
          <w:tcPr>
            <w:tcW w:w="1276" w:type="dxa"/>
            <w:vAlign w:val="center"/>
            <w:hideMark/>
          </w:tcPr>
          <w:p w14:paraId="3F8FE12F" w14:textId="52ECE2FE" w:rsidR="00237200" w:rsidRPr="00B9146C" w:rsidRDefault="00695542" w:rsidP="00F96F32">
            <w:pPr>
              <w:jc w:val="center"/>
              <w:rPr>
                <w:rFonts w:ascii="Times New Roman" w:hAnsi="Times New Roman" w:cs="Times New Roman"/>
                <w:sz w:val="20"/>
                <w:szCs w:val="20"/>
              </w:rPr>
            </w:pPr>
            <w:r w:rsidRPr="00695542">
              <w:rPr>
                <w:rFonts w:ascii="Times New Roman" w:hAnsi="Times New Roman" w:cs="Times New Roman"/>
                <w:sz w:val="20"/>
                <w:szCs w:val="20"/>
              </w:rPr>
              <w:t>956 250,00</w:t>
            </w:r>
          </w:p>
        </w:tc>
        <w:tc>
          <w:tcPr>
            <w:tcW w:w="1418" w:type="dxa"/>
            <w:vAlign w:val="center"/>
            <w:hideMark/>
          </w:tcPr>
          <w:p w14:paraId="0DBEAFDA" w14:textId="64CD1B57" w:rsidR="00237200" w:rsidRPr="00B9146C" w:rsidRDefault="00695542" w:rsidP="00F96F32">
            <w:pPr>
              <w:jc w:val="center"/>
              <w:rPr>
                <w:rFonts w:ascii="Times New Roman" w:hAnsi="Times New Roman" w:cs="Times New Roman"/>
                <w:sz w:val="20"/>
                <w:szCs w:val="20"/>
              </w:rPr>
            </w:pPr>
            <w:r w:rsidRPr="00695542">
              <w:rPr>
                <w:rFonts w:ascii="Times New Roman" w:hAnsi="Times New Roman" w:cs="Times New Roman"/>
                <w:sz w:val="20"/>
                <w:szCs w:val="20"/>
              </w:rPr>
              <w:t>1 002 750,00</w:t>
            </w:r>
          </w:p>
        </w:tc>
        <w:tc>
          <w:tcPr>
            <w:tcW w:w="1417" w:type="dxa"/>
            <w:vAlign w:val="center"/>
            <w:hideMark/>
          </w:tcPr>
          <w:p w14:paraId="676D079F" w14:textId="2B9EB61E" w:rsidR="00237200" w:rsidRPr="00B9146C" w:rsidRDefault="00695542" w:rsidP="00F96F32">
            <w:pPr>
              <w:jc w:val="center"/>
              <w:rPr>
                <w:rFonts w:ascii="Times New Roman" w:hAnsi="Times New Roman" w:cs="Times New Roman"/>
                <w:sz w:val="20"/>
                <w:szCs w:val="20"/>
              </w:rPr>
            </w:pPr>
            <w:r w:rsidRPr="00695542">
              <w:rPr>
                <w:rFonts w:ascii="Times New Roman" w:hAnsi="Times New Roman" w:cs="Times New Roman"/>
                <w:sz w:val="20"/>
                <w:szCs w:val="20"/>
              </w:rPr>
              <w:t>1 005 750,00</w:t>
            </w:r>
          </w:p>
        </w:tc>
        <w:tc>
          <w:tcPr>
            <w:tcW w:w="1418" w:type="dxa"/>
            <w:vAlign w:val="center"/>
            <w:hideMark/>
          </w:tcPr>
          <w:p w14:paraId="5CCA5F43" w14:textId="02BD6AC1" w:rsidR="00237200" w:rsidRPr="00B9146C" w:rsidRDefault="00695542" w:rsidP="00F96F32">
            <w:pPr>
              <w:jc w:val="center"/>
              <w:rPr>
                <w:rFonts w:ascii="Times New Roman" w:hAnsi="Times New Roman" w:cs="Times New Roman"/>
                <w:sz w:val="20"/>
                <w:szCs w:val="20"/>
              </w:rPr>
            </w:pPr>
            <w:r w:rsidRPr="00695542">
              <w:rPr>
                <w:rFonts w:ascii="Times New Roman" w:hAnsi="Times New Roman" w:cs="Times New Roman"/>
                <w:sz w:val="20"/>
                <w:szCs w:val="20"/>
              </w:rPr>
              <w:t>1 011 250,00</w:t>
            </w:r>
          </w:p>
        </w:tc>
        <w:tc>
          <w:tcPr>
            <w:tcW w:w="1417" w:type="dxa"/>
            <w:shd w:val="clear" w:color="auto" w:fill="A6A6A6" w:themeFill="background1" w:themeFillShade="A6"/>
            <w:vAlign w:val="center"/>
            <w:hideMark/>
          </w:tcPr>
          <w:p w14:paraId="5AB57AE2" w14:textId="37B51706" w:rsidR="00237200" w:rsidRPr="00B9146C" w:rsidRDefault="00E51D95" w:rsidP="00F96F32">
            <w:pPr>
              <w:jc w:val="center"/>
              <w:rPr>
                <w:rFonts w:ascii="Times New Roman" w:hAnsi="Times New Roman" w:cs="Times New Roman"/>
                <w:b/>
                <w:bCs/>
                <w:color w:val="FFFFFF" w:themeColor="background1"/>
                <w:sz w:val="20"/>
                <w:szCs w:val="20"/>
              </w:rPr>
            </w:pPr>
            <w:r w:rsidRPr="00E51D95">
              <w:rPr>
                <w:rFonts w:ascii="Times New Roman" w:hAnsi="Times New Roman" w:cs="Times New Roman"/>
                <w:b/>
                <w:bCs/>
                <w:color w:val="FFFFFF" w:themeColor="background1"/>
                <w:sz w:val="20"/>
                <w:szCs w:val="20"/>
              </w:rPr>
              <w:t>4 928 250,00</w:t>
            </w:r>
          </w:p>
        </w:tc>
      </w:tr>
      <w:tr w:rsidR="006F01A4" w:rsidRPr="00B9146C" w14:paraId="143E172C" w14:textId="77777777" w:rsidTr="006F01A4">
        <w:trPr>
          <w:trHeight w:val="288"/>
        </w:trPr>
        <w:tc>
          <w:tcPr>
            <w:tcW w:w="2411" w:type="dxa"/>
            <w:shd w:val="clear" w:color="auto" w:fill="D9D9D9" w:themeFill="background1" w:themeFillShade="D9"/>
            <w:vAlign w:val="center"/>
            <w:hideMark/>
          </w:tcPr>
          <w:p w14:paraId="27184F3D" w14:textId="77777777" w:rsidR="00237200" w:rsidRPr="00B9146C" w:rsidRDefault="00237200" w:rsidP="009A1121">
            <w:pPr>
              <w:rPr>
                <w:rFonts w:ascii="Times New Roman" w:hAnsi="Times New Roman" w:cs="Times New Roman"/>
                <w:b/>
                <w:bCs/>
                <w:sz w:val="20"/>
                <w:szCs w:val="20"/>
              </w:rPr>
            </w:pPr>
            <w:r w:rsidRPr="00B9146C">
              <w:rPr>
                <w:rFonts w:ascii="Times New Roman" w:hAnsi="Times New Roman" w:cs="Times New Roman"/>
                <w:b/>
                <w:bCs/>
                <w:sz w:val="20"/>
                <w:szCs w:val="20"/>
              </w:rPr>
              <w:t>Zadanie 10 - Zarządzanie Projektem</w:t>
            </w:r>
          </w:p>
        </w:tc>
        <w:tc>
          <w:tcPr>
            <w:tcW w:w="1275" w:type="dxa"/>
            <w:vAlign w:val="center"/>
            <w:hideMark/>
          </w:tcPr>
          <w:p w14:paraId="6AA494D3" w14:textId="2450BAF5" w:rsidR="00237200" w:rsidRPr="00B9146C" w:rsidRDefault="00237200" w:rsidP="00F96F32">
            <w:pPr>
              <w:jc w:val="center"/>
              <w:rPr>
                <w:rFonts w:ascii="Times New Roman" w:hAnsi="Times New Roman" w:cs="Times New Roman"/>
                <w:sz w:val="20"/>
                <w:szCs w:val="20"/>
              </w:rPr>
            </w:pPr>
            <w:r w:rsidRPr="00B9146C">
              <w:rPr>
                <w:rFonts w:ascii="Times New Roman" w:hAnsi="Times New Roman" w:cs="Times New Roman"/>
                <w:sz w:val="20"/>
                <w:szCs w:val="20"/>
              </w:rPr>
              <w:t>420 000,00</w:t>
            </w:r>
          </w:p>
        </w:tc>
        <w:tc>
          <w:tcPr>
            <w:tcW w:w="1276" w:type="dxa"/>
            <w:vAlign w:val="center"/>
            <w:hideMark/>
          </w:tcPr>
          <w:p w14:paraId="46EE4F4C" w14:textId="48211581" w:rsidR="00237200" w:rsidRPr="00B9146C" w:rsidRDefault="00237200" w:rsidP="00F96F32">
            <w:pPr>
              <w:jc w:val="center"/>
              <w:rPr>
                <w:rFonts w:ascii="Times New Roman" w:hAnsi="Times New Roman" w:cs="Times New Roman"/>
                <w:sz w:val="20"/>
                <w:szCs w:val="20"/>
              </w:rPr>
            </w:pPr>
            <w:r w:rsidRPr="00B9146C">
              <w:rPr>
                <w:rFonts w:ascii="Times New Roman" w:hAnsi="Times New Roman" w:cs="Times New Roman"/>
                <w:sz w:val="20"/>
                <w:szCs w:val="20"/>
              </w:rPr>
              <w:t>420 000,00</w:t>
            </w:r>
          </w:p>
        </w:tc>
        <w:tc>
          <w:tcPr>
            <w:tcW w:w="1418" w:type="dxa"/>
            <w:vAlign w:val="center"/>
            <w:hideMark/>
          </w:tcPr>
          <w:p w14:paraId="3F64FEFC" w14:textId="3842E129" w:rsidR="00237200" w:rsidRPr="00B9146C" w:rsidRDefault="00237200" w:rsidP="00F96F32">
            <w:pPr>
              <w:jc w:val="center"/>
              <w:rPr>
                <w:rFonts w:ascii="Times New Roman" w:hAnsi="Times New Roman" w:cs="Times New Roman"/>
                <w:sz w:val="20"/>
                <w:szCs w:val="20"/>
              </w:rPr>
            </w:pPr>
            <w:r w:rsidRPr="00B9146C">
              <w:rPr>
                <w:rFonts w:ascii="Times New Roman" w:hAnsi="Times New Roman" w:cs="Times New Roman"/>
                <w:sz w:val="20"/>
                <w:szCs w:val="20"/>
              </w:rPr>
              <w:t>420 000,00</w:t>
            </w:r>
          </w:p>
        </w:tc>
        <w:tc>
          <w:tcPr>
            <w:tcW w:w="1417" w:type="dxa"/>
            <w:vAlign w:val="center"/>
            <w:hideMark/>
          </w:tcPr>
          <w:p w14:paraId="2096E45D" w14:textId="78C4BFED" w:rsidR="00237200" w:rsidRPr="00B9146C" w:rsidRDefault="00237200" w:rsidP="00F96F32">
            <w:pPr>
              <w:jc w:val="center"/>
              <w:rPr>
                <w:rFonts w:ascii="Times New Roman" w:hAnsi="Times New Roman" w:cs="Times New Roman"/>
                <w:sz w:val="20"/>
                <w:szCs w:val="20"/>
              </w:rPr>
            </w:pPr>
            <w:r w:rsidRPr="00B9146C">
              <w:rPr>
                <w:rFonts w:ascii="Times New Roman" w:hAnsi="Times New Roman" w:cs="Times New Roman"/>
                <w:sz w:val="20"/>
                <w:szCs w:val="20"/>
              </w:rPr>
              <w:t>420 000,00</w:t>
            </w:r>
          </w:p>
        </w:tc>
        <w:tc>
          <w:tcPr>
            <w:tcW w:w="1418" w:type="dxa"/>
            <w:vAlign w:val="center"/>
            <w:hideMark/>
          </w:tcPr>
          <w:p w14:paraId="57C37CF4" w14:textId="2F03E5BA" w:rsidR="00237200" w:rsidRPr="00B9146C" w:rsidRDefault="00237200" w:rsidP="00F96F32">
            <w:pPr>
              <w:jc w:val="center"/>
              <w:rPr>
                <w:rFonts w:ascii="Times New Roman" w:hAnsi="Times New Roman" w:cs="Times New Roman"/>
                <w:sz w:val="20"/>
                <w:szCs w:val="20"/>
              </w:rPr>
            </w:pPr>
            <w:r w:rsidRPr="00B9146C">
              <w:rPr>
                <w:rFonts w:ascii="Times New Roman" w:hAnsi="Times New Roman" w:cs="Times New Roman"/>
                <w:sz w:val="20"/>
                <w:szCs w:val="20"/>
              </w:rPr>
              <w:t>420 000,00</w:t>
            </w:r>
          </w:p>
        </w:tc>
        <w:tc>
          <w:tcPr>
            <w:tcW w:w="1417" w:type="dxa"/>
            <w:shd w:val="clear" w:color="auto" w:fill="A6A6A6" w:themeFill="background1" w:themeFillShade="A6"/>
            <w:vAlign w:val="center"/>
            <w:hideMark/>
          </w:tcPr>
          <w:p w14:paraId="019D8D30" w14:textId="4390E983" w:rsidR="00237200" w:rsidRPr="00B9146C" w:rsidRDefault="00237200" w:rsidP="00F96F32">
            <w:pPr>
              <w:jc w:val="center"/>
              <w:rPr>
                <w:rFonts w:ascii="Times New Roman" w:hAnsi="Times New Roman" w:cs="Times New Roman"/>
                <w:b/>
                <w:bCs/>
                <w:color w:val="FFFFFF" w:themeColor="background1"/>
                <w:sz w:val="20"/>
                <w:szCs w:val="20"/>
              </w:rPr>
            </w:pPr>
            <w:r w:rsidRPr="00B9146C">
              <w:rPr>
                <w:rFonts w:ascii="Times New Roman" w:hAnsi="Times New Roman" w:cs="Times New Roman"/>
                <w:b/>
                <w:bCs/>
                <w:color w:val="FFFFFF" w:themeColor="background1"/>
                <w:sz w:val="20"/>
                <w:szCs w:val="20"/>
              </w:rPr>
              <w:t>2 100 000,00</w:t>
            </w:r>
          </w:p>
        </w:tc>
      </w:tr>
      <w:tr w:rsidR="006F01A4" w:rsidRPr="00B9146C" w14:paraId="07AB06D0" w14:textId="77777777" w:rsidTr="006F01A4">
        <w:trPr>
          <w:trHeight w:val="576"/>
        </w:trPr>
        <w:tc>
          <w:tcPr>
            <w:tcW w:w="2411" w:type="dxa"/>
            <w:shd w:val="clear" w:color="auto" w:fill="D9D9D9" w:themeFill="background1" w:themeFillShade="D9"/>
            <w:vAlign w:val="center"/>
            <w:hideMark/>
          </w:tcPr>
          <w:p w14:paraId="2D0BB752" w14:textId="77777777" w:rsidR="00237200" w:rsidRPr="00B9146C" w:rsidRDefault="00237200" w:rsidP="009A1121">
            <w:pPr>
              <w:rPr>
                <w:rFonts w:ascii="Times New Roman" w:hAnsi="Times New Roman" w:cs="Times New Roman"/>
                <w:b/>
                <w:bCs/>
                <w:sz w:val="20"/>
                <w:szCs w:val="20"/>
              </w:rPr>
            </w:pPr>
            <w:r w:rsidRPr="00B9146C">
              <w:rPr>
                <w:rFonts w:ascii="Times New Roman" w:hAnsi="Times New Roman" w:cs="Times New Roman"/>
                <w:b/>
                <w:bCs/>
                <w:sz w:val="20"/>
                <w:szCs w:val="20"/>
              </w:rPr>
              <w:t>Zadanie 2 - Moduł E-REJESTRACJA, E-LICENCJA, E-CERTYFIKACJA</w:t>
            </w:r>
          </w:p>
        </w:tc>
        <w:tc>
          <w:tcPr>
            <w:tcW w:w="1275" w:type="dxa"/>
            <w:vAlign w:val="center"/>
            <w:hideMark/>
          </w:tcPr>
          <w:p w14:paraId="35849CF1" w14:textId="394121C4" w:rsidR="00237200" w:rsidRPr="00B9146C" w:rsidRDefault="00E51D95" w:rsidP="00F96F32">
            <w:pPr>
              <w:jc w:val="center"/>
              <w:rPr>
                <w:rFonts w:ascii="Times New Roman" w:hAnsi="Times New Roman" w:cs="Times New Roman"/>
                <w:sz w:val="20"/>
                <w:szCs w:val="20"/>
              </w:rPr>
            </w:pPr>
            <w:r w:rsidRPr="00E51D95">
              <w:rPr>
                <w:rFonts w:ascii="Times New Roman" w:hAnsi="Times New Roman" w:cs="Times New Roman"/>
                <w:sz w:val="20"/>
                <w:szCs w:val="20"/>
              </w:rPr>
              <w:t>634 230,00</w:t>
            </w:r>
          </w:p>
        </w:tc>
        <w:tc>
          <w:tcPr>
            <w:tcW w:w="1276" w:type="dxa"/>
            <w:vAlign w:val="center"/>
            <w:hideMark/>
          </w:tcPr>
          <w:p w14:paraId="3B85AB12" w14:textId="12B92BDB" w:rsidR="00237200" w:rsidRPr="00B9146C" w:rsidRDefault="00E51D95" w:rsidP="00F96F32">
            <w:pPr>
              <w:jc w:val="center"/>
              <w:rPr>
                <w:rFonts w:ascii="Times New Roman" w:hAnsi="Times New Roman" w:cs="Times New Roman"/>
                <w:sz w:val="20"/>
                <w:szCs w:val="20"/>
              </w:rPr>
            </w:pPr>
            <w:r w:rsidRPr="00E51D95">
              <w:rPr>
                <w:rFonts w:ascii="Times New Roman" w:hAnsi="Times New Roman" w:cs="Times New Roman"/>
                <w:sz w:val="20"/>
                <w:szCs w:val="20"/>
              </w:rPr>
              <w:t>644 030,00</w:t>
            </w:r>
          </w:p>
        </w:tc>
        <w:tc>
          <w:tcPr>
            <w:tcW w:w="1418" w:type="dxa"/>
            <w:vAlign w:val="center"/>
            <w:hideMark/>
          </w:tcPr>
          <w:p w14:paraId="1200A7B6" w14:textId="64D42741" w:rsidR="00237200" w:rsidRPr="00B9146C" w:rsidRDefault="00E51D95" w:rsidP="00F96F32">
            <w:pPr>
              <w:jc w:val="center"/>
              <w:rPr>
                <w:rFonts w:ascii="Times New Roman" w:hAnsi="Times New Roman" w:cs="Times New Roman"/>
                <w:sz w:val="20"/>
                <w:szCs w:val="20"/>
              </w:rPr>
            </w:pPr>
            <w:r w:rsidRPr="00E51D95">
              <w:rPr>
                <w:rFonts w:ascii="Times New Roman" w:hAnsi="Times New Roman" w:cs="Times New Roman"/>
                <w:sz w:val="20"/>
                <w:szCs w:val="20"/>
              </w:rPr>
              <w:t>769 030,00</w:t>
            </w:r>
          </w:p>
        </w:tc>
        <w:tc>
          <w:tcPr>
            <w:tcW w:w="1417" w:type="dxa"/>
            <w:vAlign w:val="center"/>
            <w:hideMark/>
          </w:tcPr>
          <w:p w14:paraId="3E2EA03F" w14:textId="39F2D962" w:rsidR="00237200" w:rsidRPr="00B9146C" w:rsidRDefault="006575B7" w:rsidP="00F96F32">
            <w:pPr>
              <w:jc w:val="center"/>
              <w:rPr>
                <w:rFonts w:ascii="Times New Roman" w:hAnsi="Times New Roman" w:cs="Times New Roman"/>
                <w:sz w:val="20"/>
                <w:szCs w:val="20"/>
              </w:rPr>
            </w:pPr>
            <w:r w:rsidRPr="006575B7">
              <w:rPr>
                <w:rFonts w:ascii="Times New Roman" w:hAnsi="Times New Roman" w:cs="Times New Roman"/>
                <w:sz w:val="20"/>
                <w:szCs w:val="20"/>
              </w:rPr>
              <w:t>775 030,00</w:t>
            </w:r>
          </w:p>
        </w:tc>
        <w:tc>
          <w:tcPr>
            <w:tcW w:w="1418" w:type="dxa"/>
            <w:vAlign w:val="center"/>
            <w:hideMark/>
          </w:tcPr>
          <w:p w14:paraId="1DC67465" w14:textId="348A463D" w:rsidR="00237200" w:rsidRPr="00B9146C" w:rsidRDefault="006575B7" w:rsidP="00F96F32">
            <w:pPr>
              <w:jc w:val="center"/>
              <w:rPr>
                <w:rFonts w:ascii="Times New Roman" w:hAnsi="Times New Roman" w:cs="Times New Roman"/>
                <w:sz w:val="20"/>
                <w:szCs w:val="20"/>
              </w:rPr>
            </w:pPr>
            <w:r w:rsidRPr="006575B7">
              <w:rPr>
                <w:rFonts w:ascii="Times New Roman" w:hAnsi="Times New Roman" w:cs="Times New Roman"/>
                <w:sz w:val="20"/>
                <w:szCs w:val="20"/>
              </w:rPr>
              <w:t>661 030,00</w:t>
            </w:r>
          </w:p>
        </w:tc>
        <w:tc>
          <w:tcPr>
            <w:tcW w:w="1417" w:type="dxa"/>
            <w:shd w:val="clear" w:color="auto" w:fill="A6A6A6" w:themeFill="background1" w:themeFillShade="A6"/>
            <w:vAlign w:val="center"/>
            <w:hideMark/>
          </w:tcPr>
          <w:p w14:paraId="616C028F" w14:textId="37B5707F" w:rsidR="00237200" w:rsidRPr="00B9146C" w:rsidRDefault="006575B7" w:rsidP="00F96F32">
            <w:pPr>
              <w:jc w:val="center"/>
              <w:rPr>
                <w:rFonts w:ascii="Times New Roman" w:hAnsi="Times New Roman" w:cs="Times New Roman"/>
                <w:b/>
                <w:bCs/>
                <w:color w:val="FFFFFF" w:themeColor="background1"/>
                <w:sz w:val="20"/>
                <w:szCs w:val="20"/>
              </w:rPr>
            </w:pPr>
            <w:r w:rsidRPr="006575B7">
              <w:rPr>
                <w:rFonts w:ascii="Times New Roman" w:hAnsi="Times New Roman" w:cs="Times New Roman"/>
                <w:b/>
                <w:bCs/>
                <w:color w:val="FFFFFF" w:themeColor="background1"/>
                <w:sz w:val="20"/>
                <w:szCs w:val="20"/>
              </w:rPr>
              <w:t>3 483 350,00</w:t>
            </w:r>
          </w:p>
        </w:tc>
      </w:tr>
      <w:tr w:rsidR="006F01A4" w:rsidRPr="00B9146C" w14:paraId="6DE9F098" w14:textId="77777777" w:rsidTr="006F01A4">
        <w:trPr>
          <w:trHeight w:val="288"/>
        </w:trPr>
        <w:tc>
          <w:tcPr>
            <w:tcW w:w="2411" w:type="dxa"/>
            <w:shd w:val="clear" w:color="auto" w:fill="D9D9D9" w:themeFill="background1" w:themeFillShade="D9"/>
            <w:vAlign w:val="center"/>
            <w:hideMark/>
          </w:tcPr>
          <w:p w14:paraId="47310B64" w14:textId="77777777" w:rsidR="00237200" w:rsidRPr="00B9146C" w:rsidRDefault="00237200" w:rsidP="009A1121">
            <w:pPr>
              <w:rPr>
                <w:rFonts w:ascii="Times New Roman" w:hAnsi="Times New Roman" w:cs="Times New Roman"/>
                <w:b/>
                <w:bCs/>
                <w:sz w:val="20"/>
                <w:szCs w:val="20"/>
              </w:rPr>
            </w:pPr>
            <w:r w:rsidRPr="00B9146C">
              <w:rPr>
                <w:rFonts w:ascii="Times New Roman" w:hAnsi="Times New Roman" w:cs="Times New Roman"/>
                <w:b/>
                <w:bCs/>
                <w:sz w:val="20"/>
                <w:szCs w:val="20"/>
              </w:rPr>
              <w:t>Zadanie 3 - Moduł E-LEARNING</w:t>
            </w:r>
          </w:p>
        </w:tc>
        <w:tc>
          <w:tcPr>
            <w:tcW w:w="1275" w:type="dxa"/>
            <w:vAlign w:val="center"/>
            <w:hideMark/>
          </w:tcPr>
          <w:p w14:paraId="3F8ECD26" w14:textId="46A985EA" w:rsidR="00237200" w:rsidRPr="00B9146C" w:rsidRDefault="006575B7" w:rsidP="00F96F32">
            <w:pPr>
              <w:jc w:val="center"/>
              <w:rPr>
                <w:rFonts w:ascii="Times New Roman" w:hAnsi="Times New Roman" w:cs="Times New Roman"/>
                <w:sz w:val="20"/>
                <w:szCs w:val="20"/>
              </w:rPr>
            </w:pPr>
            <w:r w:rsidRPr="006575B7">
              <w:rPr>
                <w:rFonts w:ascii="Times New Roman" w:hAnsi="Times New Roman" w:cs="Times New Roman"/>
                <w:sz w:val="20"/>
                <w:szCs w:val="20"/>
              </w:rPr>
              <w:t>564 230,00</w:t>
            </w:r>
          </w:p>
        </w:tc>
        <w:tc>
          <w:tcPr>
            <w:tcW w:w="1276" w:type="dxa"/>
            <w:vAlign w:val="center"/>
            <w:hideMark/>
          </w:tcPr>
          <w:p w14:paraId="64611221" w14:textId="72FB23C3" w:rsidR="00237200" w:rsidRPr="00B9146C" w:rsidRDefault="006575B7" w:rsidP="00F96F32">
            <w:pPr>
              <w:jc w:val="center"/>
              <w:rPr>
                <w:rFonts w:ascii="Times New Roman" w:hAnsi="Times New Roman" w:cs="Times New Roman"/>
                <w:sz w:val="20"/>
                <w:szCs w:val="20"/>
              </w:rPr>
            </w:pPr>
            <w:r w:rsidRPr="006575B7">
              <w:rPr>
                <w:rFonts w:ascii="Times New Roman" w:hAnsi="Times New Roman" w:cs="Times New Roman"/>
                <w:sz w:val="20"/>
                <w:szCs w:val="20"/>
              </w:rPr>
              <w:t>570 030,00</w:t>
            </w:r>
          </w:p>
        </w:tc>
        <w:tc>
          <w:tcPr>
            <w:tcW w:w="1418" w:type="dxa"/>
            <w:vAlign w:val="center"/>
            <w:hideMark/>
          </w:tcPr>
          <w:p w14:paraId="7B016855" w14:textId="2797F4D7" w:rsidR="00237200" w:rsidRPr="00B9146C" w:rsidRDefault="00267B10" w:rsidP="00F96F32">
            <w:pPr>
              <w:jc w:val="center"/>
              <w:rPr>
                <w:rFonts w:ascii="Times New Roman" w:hAnsi="Times New Roman" w:cs="Times New Roman"/>
                <w:sz w:val="20"/>
                <w:szCs w:val="20"/>
              </w:rPr>
            </w:pPr>
            <w:r w:rsidRPr="00267B10">
              <w:rPr>
                <w:rFonts w:ascii="Times New Roman" w:hAnsi="Times New Roman" w:cs="Times New Roman"/>
                <w:sz w:val="20"/>
                <w:szCs w:val="20"/>
              </w:rPr>
              <w:t>691 030,00</w:t>
            </w:r>
          </w:p>
        </w:tc>
        <w:tc>
          <w:tcPr>
            <w:tcW w:w="1417" w:type="dxa"/>
            <w:vAlign w:val="center"/>
            <w:hideMark/>
          </w:tcPr>
          <w:p w14:paraId="000C77C0" w14:textId="0B989F78" w:rsidR="00237200" w:rsidRPr="00B9146C" w:rsidRDefault="00267B10" w:rsidP="00F96F32">
            <w:pPr>
              <w:jc w:val="center"/>
              <w:rPr>
                <w:rFonts w:ascii="Times New Roman" w:hAnsi="Times New Roman" w:cs="Times New Roman"/>
                <w:sz w:val="20"/>
                <w:szCs w:val="20"/>
              </w:rPr>
            </w:pPr>
            <w:r w:rsidRPr="00267B10">
              <w:rPr>
                <w:rFonts w:ascii="Times New Roman" w:hAnsi="Times New Roman" w:cs="Times New Roman"/>
                <w:sz w:val="20"/>
                <w:szCs w:val="20"/>
              </w:rPr>
              <w:t>693 030,00</w:t>
            </w:r>
          </w:p>
        </w:tc>
        <w:tc>
          <w:tcPr>
            <w:tcW w:w="1418" w:type="dxa"/>
            <w:vAlign w:val="center"/>
            <w:hideMark/>
          </w:tcPr>
          <w:p w14:paraId="795A9F64" w14:textId="792A7D61" w:rsidR="00237200" w:rsidRPr="00B9146C" w:rsidRDefault="00267B10" w:rsidP="00F96F32">
            <w:pPr>
              <w:jc w:val="center"/>
              <w:rPr>
                <w:rFonts w:ascii="Times New Roman" w:hAnsi="Times New Roman" w:cs="Times New Roman"/>
                <w:sz w:val="20"/>
                <w:szCs w:val="20"/>
              </w:rPr>
            </w:pPr>
            <w:r w:rsidRPr="00267B10">
              <w:rPr>
                <w:rFonts w:ascii="Times New Roman" w:hAnsi="Times New Roman" w:cs="Times New Roman"/>
                <w:sz w:val="20"/>
                <w:szCs w:val="20"/>
              </w:rPr>
              <w:t>575 030,00</w:t>
            </w:r>
          </w:p>
        </w:tc>
        <w:tc>
          <w:tcPr>
            <w:tcW w:w="1417" w:type="dxa"/>
            <w:shd w:val="clear" w:color="auto" w:fill="A6A6A6" w:themeFill="background1" w:themeFillShade="A6"/>
            <w:vAlign w:val="center"/>
            <w:hideMark/>
          </w:tcPr>
          <w:p w14:paraId="24A1CAB3" w14:textId="6E18FAAE" w:rsidR="00237200" w:rsidRPr="00B9146C" w:rsidRDefault="00267B10" w:rsidP="00F96F32">
            <w:pPr>
              <w:jc w:val="center"/>
              <w:rPr>
                <w:rFonts w:ascii="Times New Roman" w:hAnsi="Times New Roman" w:cs="Times New Roman"/>
                <w:b/>
                <w:bCs/>
                <w:color w:val="FFFFFF" w:themeColor="background1"/>
                <w:sz w:val="20"/>
                <w:szCs w:val="20"/>
              </w:rPr>
            </w:pPr>
            <w:r w:rsidRPr="00267B10">
              <w:rPr>
                <w:rFonts w:ascii="Times New Roman" w:hAnsi="Times New Roman" w:cs="Times New Roman"/>
                <w:b/>
                <w:bCs/>
                <w:color w:val="FFFFFF" w:themeColor="background1"/>
                <w:sz w:val="20"/>
                <w:szCs w:val="20"/>
              </w:rPr>
              <w:t>3 093 350,00</w:t>
            </w:r>
          </w:p>
        </w:tc>
      </w:tr>
      <w:tr w:rsidR="006F01A4" w:rsidRPr="00B9146C" w14:paraId="1B864808" w14:textId="77777777" w:rsidTr="006F01A4">
        <w:trPr>
          <w:trHeight w:val="288"/>
        </w:trPr>
        <w:tc>
          <w:tcPr>
            <w:tcW w:w="2411" w:type="dxa"/>
            <w:shd w:val="clear" w:color="auto" w:fill="D9D9D9" w:themeFill="background1" w:themeFillShade="D9"/>
            <w:vAlign w:val="center"/>
            <w:hideMark/>
          </w:tcPr>
          <w:p w14:paraId="42BFE091" w14:textId="77777777" w:rsidR="00237200" w:rsidRPr="00B9146C" w:rsidRDefault="00237200" w:rsidP="009A1121">
            <w:pPr>
              <w:rPr>
                <w:rFonts w:ascii="Times New Roman" w:hAnsi="Times New Roman" w:cs="Times New Roman"/>
                <w:b/>
                <w:bCs/>
                <w:sz w:val="20"/>
                <w:szCs w:val="20"/>
              </w:rPr>
            </w:pPr>
            <w:r w:rsidRPr="00B9146C">
              <w:rPr>
                <w:rFonts w:ascii="Times New Roman" w:hAnsi="Times New Roman" w:cs="Times New Roman"/>
                <w:b/>
                <w:bCs/>
                <w:sz w:val="20"/>
                <w:szCs w:val="20"/>
              </w:rPr>
              <w:t>Zadanie 4 - Moduł E-IDENTYFIKACJA</w:t>
            </w:r>
          </w:p>
        </w:tc>
        <w:tc>
          <w:tcPr>
            <w:tcW w:w="1275" w:type="dxa"/>
            <w:vAlign w:val="center"/>
            <w:hideMark/>
          </w:tcPr>
          <w:p w14:paraId="56170380" w14:textId="4F55DC92" w:rsidR="00237200" w:rsidRPr="00B9146C" w:rsidRDefault="00267B10" w:rsidP="00F96F32">
            <w:pPr>
              <w:jc w:val="center"/>
              <w:rPr>
                <w:rFonts w:ascii="Times New Roman" w:hAnsi="Times New Roman" w:cs="Times New Roman"/>
                <w:sz w:val="20"/>
                <w:szCs w:val="20"/>
              </w:rPr>
            </w:pPr>
            <w:r w:rsidRPr="00267B10">
              <w:rPr>
                <w:rFonts w:ascii="Times New Roman" w:hAnsi="Times New Roman" w:cs="Times New Roman"/>
                <w:sz w:val="20"/>
                <w:szCs w:val="20"/>
              </w:rPr>
              <w:t>881 730,00</w:t>
            </w:r>
          </w:p>
        </w:tc>
        <w:tc>
          <w:tcPr>
            <w:tcW w:w="1276" w:type="dxa"/>
            <w:vAlign w:val="center"/>
            <w:hideMark/>
          </w:tcPr>
          <w:p w14:paraId="4BEE23C2" w14:textId="2BFBB484" w:rsidR="00237200" w:rsidRPr="00B9146C" w:rsidRDefault="00AF294E" w:rsidP="00F96F32">
            <w:pPr>
              <w:jc w:val="center"/>
              <w:rPr>
                <w:rFonts w:ascii="Times New Roman" w:hAnsi="Times New Roman" w:cs="Times New Roman"/>
                <w:sz w:val="20"/>
                <w:szCs w:val="20"/>
              </w:rPr>
            </w:pPr>
            <w:r w:rsidRPr="00AF294E">
              <w:rPr>
                <w:rFonts w:ascii="Times New Roman" w:hAnsi="Times New Roman" w:cs="Times New Roman"/>
                <w:sz w:val="20"/>
                <w:szCs w:val="20"/>
              </w:rPr>
              <w:t>889 530,00</w:t>
            </w:r>
          </w:p>
        </w:tc>
        <w:tc>
          <w:tcPr>
            <w:tcW w:w="1418" w:type="dxa"/>
            <w:vAlign w:val="center"/>
            <w:hideMark/>
          </w:tcPr>
          <w:p w14:paraId="09DEB6A7" w14:textId="7248FFDF" w:rsidR="00237200" w:rsidRPr="00B9146C" w:rsidRDefault="00AF294E" w:rsidP="00F96F32">
            <w:pPr>
              <w:jc w:val="center"/>
              <w:rPr>
                <w:rFonts w:ascii="Times New Roman" w:hAnsi="Times New Roman" w:cs="Times New Roman"/>
                <w:sz w:val="20"/>
                <w:szCs w:val="20"/>
              </w:rPr>
            </w:pPr>
            <w:r w:rsidRPr="00AF294E">
              <w:rPr>
                <w:rFonts w:ascii="Times New Roman" w:hAnsi="Times New Roman" w:cs="Times New Roman"/>
                <w:sz w:val="20"/>
                <w:szCs w:val="20"/>
              </w:rPr>
              <w:t>891 530,00</w:t>
            </w:r>
          </w:p>
        </w:tc>
        <w:tc>
          <w:tcPr>
            <w:tcW w:w="1417" w:type="dxa"/>
            <w:vAlign w:val="center"/>
            <w:hideMark/>
          </w:tcPr>
          <w:p w14:paraId="4011CABB" w14:textId="758CF8A2" w:rsidR="00237200" w:rsidRPr="00B9146C" w:rsidRDefault="00AF294E" w:rsidP="00F96F32">
            <w:pPr>
              <w:jc w:val="center"/>
              <w:rPr>
                <w:rFonts w:ascii="Times New Roman" w:hAnsi="Times New Roman" w:cs="Times New Roman"/>
                <w:sz w:val="20"/>
                <w:szCs w:val="20"/>
              </w:rPr>
            </w:pPr>
            <w:r w:rsidRPr="00AF294E">
              <w:rPr>
                <w:rFonts w:ascii="Times New Roman" w:hAnsi="Times New Roman" w:cs="Times New Roman"/>
                <w:sz w:val="20"/>
                <w:szCs w:val="20"/>
              </w:rPr>
              <w:t>895 530,00</w:t>
            </w:r>
          </w:p>
        </w:tc>
        <w:tc>
          <w:tcPr>
            <w:tcW w:w="1418" w:type="dxa"/>
            <w:vAlign w:val="center"/>
            <w:hideMark/>
          </w:tcPr>
          <w:p w14:paraId="059B4C44" w14:textId="3C2B4AF9" w:rsidR="00237200" w:rsidRPr="00B9146C" w:rsidRDefault="00AF294E" w:rsidP="00F96F32">
            <w:pPr>
              <w:jc w:val="center"/>
              <w:rPr>
                <w:rFonts w:ascii="Times New Roman" w:hAnsi="Times New Roman" w:cs="Times New Roman"/>
                <w:sz w:val="20"/>
                <w:szCs w:val="20"/>
              </w:rPr>
            </w:pPr>
            <w:r w:rsidRPr="00AF294E">
              <w:rPr>
                <w:rFonts w:ascii="Times New Roman" w:hAnsi="Times New Roman" w:cs="Times New Roman"/>
                <w:sz w:val="20"/>
                <w:szCs w:val="20"/>
              </w:rPr>
              <w:t>898 530,00</w:t>
            </w:r>
          </w:p>
        </w:tc>
        <w:tc>
          <w:tcPr>
            <w:tcW w:w="1417" w:type="dxa"/>
            <w:shd w:val="clear" w:color="auto" w:fill="A6A6A6" w:themeFill="background1" w:themeFillShade="A6"/>
            <w:vAlign w:val="center"/>
            <w:hideMark/>
          </w:tcPr>
          <w:p w14:paraId="31C9887F" w14:textId="63E8107D" w:rsidR="00237200" w:rsidRPr="00B9146C" w:rsidRDefault="00072232" w:rsidP="00F96F32">
            <w:pPr>
              <w:jc w:val="center"/>
              <w:rPr>
                <w:rFonts w:ascii="Times New Roman" w:hAnsi="Times New Roman" w:cs="Times New Roman"/>
                <w:b/>
                <w:bCs/>
                <w:color w:val="FFFFFF" w:themeColor="background1"/>
                <w:sz w:val="20"/>
                <w:szCs w:val="20"/>
              </w:rPr>
            </w:pPr>
            <w:r w:rsidRPr="00072232">
              <w:rPr>
                <w:rFonts w:ascii="Times New Roman" w:hAnsi="Times New Roman" w:cs="Times New Roman"/>
                <w:b/>
                <w:bCs/>
                <w:color w:val="FFFFFF" w:themeColor="background1"/>
                <w:sz w:val="20"/>
                <w:szCs w:val="20"/>
              </w:rPr>
              <w:t>4 456 850,00</w:t>
            </w:r>
          </w:p>
        </w:tc>
      </w:tr>
      <w:tr w:rsidR="006F01A4" w:rsidRPr="00B9146C" w14:paraId="1DA692A6" w14:textId="77777777" w:rsidTr="006F01A4">
        <w:trPr>
          <w:trHeight w:val="288"/>
        </w:trPr>
        <w:tc>
          <w:tcPr>
            <w:tcW w:w="2411" w:type="dxa"/>
            <w:shd w:val="clear" w:color="auto" w:fill="D9D9D9" w:themeFill="background1" w:themeFillShade="D9"/>
            <w:vAlign w:val="center"/>
            <w:hideMark/>
          </w:tcPr>
          <w:p w14:paraId="098610DC" w14:textId="77777777" w:rsidR="00237200" w:rsidRPr="00B9146C" w:rsidRDefault="00237200" w:rsidP="009A1121">
            <w:pPr>
              <w:rPr>
                <w:rFonts w:ascii="Times New Roman" w:hAnsi="Times New Roman" w:cs="Times New Roman"/>
                <w:b/>
                <w:bCs/>
                <w:sz w:val="20"/>
                <w:szCs w:val="20"/>
              </w:rPr>
            </w:pPr>
            <w:r w:rsidRPr="00B9146C">
              <w:rPr>
                <w:rFonts w:ascii="Times New Roman" w:hAnsi="Times New Roman" w:cs="Times New Roman"/>
                <w:b/>
                <w:bCs/>
                <w:sz w:val="20"/>
                <w:szCs w:val="20"/>
              </w:rPr>
              <w:t>Zadanie 5 - Moduł E-SORA</w:t>
            </w:r>
          </w:p>
        </w:tc>
        <w:tc>
          <w:tcPr>
            <w:tcW w:w="1275" w:type="dxa"/>
            <w:vAlign w:val="center"/>
            <w:hideMark/>
          </w:tcPr>
          <w:p w14:paraId="77417301" w14:textId="58CD8A0A" w:rsidR="00237200" w:rsidRPr="00B9146C" w:rsidRDefault="00072232" w:rsidP="00F96F32">
            <w:pPr>
              <w:jc w:val="center"/>
              <w:rPr>
                <w:rFonts w:ascii="Times New Roman" w:hAnsi="Times New Roman" w:cs="Times New Roman"/>
                <w:sz w:val="20"/>
                <w:szCs w:val="20"/>
              </w:rPr>
            </w:pPr>
            <w:r w:rsidRPr="00072232">
              <w:rPr>
                <w:rFonts w:ascii="Times New Roman" w:hAnsi="Times New Roman" w:cs="Times New Roman"/>
                <w:sz w:val="20"/>
                <w:szCs w:val="20"/>
              </w:rPr>
              <w:t>931 730,00</w:t>
            </w:r>
          </w:p>
        </w:tc>
        <w:tc>
          <w:tcPr>
            <w:tcW w:w="1276" w:type="dxa"/>
            <w:vAlign w:val="center"/>
            <w:hideMark/>
          </w:tcPr>
          <w:p w14:paraId="24E5D837" w14:textId="60357A6C" w:rsidR="00237200" w:rsidRPr="00B9146C" w:rsidRDefault="00072232" w:rsidP="00F96F32">
            <w:pPr>
              <w:jc w:val="center"/>
              <w:rPr>
                <w:rFonts w:ascii="Times New Roman" w:hAnsi="Times New Roman" w:cs="Times New Roman"/>
                <w:sz w:val="20"/>
                <w:szCs w:val="20"/>
              </w:rPr>
            </w:pPr>
            <w:r w:rsidRPr="00072232">
              <w:rPr>
                <w:rFonts w:ascii="Times New Roman" w:hAnsi="Times New Roman" w:cs="Times New Roman"/>
                <w:sz w:val="20"/>
                <w:szCs w:val="20"/>
              </w:rPr>
              <w:t>937 530,00</w:t>
            </w:r>
          </w:p>
        </w:tc>
        <w:tc>
          <w:tcPr>
            <w:tcW w:w="1418" w:type="dxa"/>
            <w:vAlign w:val="center"/>
            <w:hideMark/>
          </w:tcPr>
          <w:p w14:paraId="20A46A5C" w14:textId="7EA66470" w:rsidR="00237200" w:rsidRPr="00B9146C" w:rsidRDefault="00072232" w:rsidP="00F96F32">
            <w:pPr>
              <w:jc w:val="center"/>
              <w:rPr>
                <w:rFonts w:ascii="Times New Roman" w:hAnsi="Times New Roman" w:cs="Times New Roman"/>
                <w:sz w:val="20"/>
                <w:szCs w:val="20"/>
              </w:rPr>
            </w:pPr>
            <w:r w:rsidRPr="00072232">
              <w:rPr>
                <w:rFonts w:ascii="Times New Roman" w:hAnsi="Times New Roman" w:cs="Times New Roman"/>
                <w:sz w:val="20"/>
                <w:szCs w:val="20"/>
              </w:rPr>
              <w:t>938 530,00</w:t>
            </w:r>
          </w:p>
        </w:tc>
        <w:tc>
          <w:tcPr>
            <w:tcW w:w="1417" w:type="dxa"/>
            <w:vAlign w:val="center"/>
            <w:hideMark/>
          </w:tcPr>
          <w:p w14:paraId="5E90FD9F" w14:textId="50680968" w:rsidR="00237200" w:rsidRPr="00B9146C" w:rsidRDefault="007A23B4" w:rsidP="00F96F32">
            <w:pPr>
              <w:jc w:val="center"/>
              <w:rPr>
                <w:rFonts w:ascii="Times New Roman" w:hAnsi="Times New Roman" w:cs="Times New Roman"/>
                <w:sz w:val="20"/>
                <w:szCs w:val="20"/>
              </w:rPr>
            </w:pPr>
            <w:r w:rsidRPr="007A23B4">
              <w:rPr>
                <w:rFonts w:ascii="Times New Roman" w:hAnsi="Times New Roman" w:cs="Times New Roman"/>
                <w:sz w:val="20"/>
                <w:szCs w:val="20"/>
              </w:rPr>
              <w:t>940 530,00</w:t>
            </w:r>
          </w:p>
        </w:tc>
        <w:tc>
          <w:tcPr>
            <w:tcW w:w="1418" w:type="dxa"/>
            <w:vAlign w:val="center"/>
            <w:hideMark/>
          </w:tcPr>
          <w:p w14:paraId="7B5EB16C" w14:textId="423DCA33" w:rsidR="00237200" w:rsidRPr="00B9146C" w:rsidRDefault="007A23B4" w:rsidP="00F96F32">
            <w:pPr>
              <w:jc w:val="center"/>
              <w:rPr>
                <w:rFonts w:ascii="Times New Roman" w:hAnsi="Times New Roman" w:cs="Times New Roman"/>
                <w:sz w:val="20"/>
                <w:szCs w:val="20"/>
              </w:rPr>
            </w:pPr>
            <w:r w:rsidRPr="007A23B4">
              <w:rPr>
                <w:rFonts w:ascii="Times New Roman" w:hAnsi="Times New Roman" w:cs="Times New Roman"/>
                <w:sz w:val="20"/>
                <w:szCs w:val="20"/>
              </w:rPr>
              <w:t>942 530,00</w:t>
            </w:r>
          </w:p>
        </w:tc>
        <w:tc>
          <w:tcPr>
            <w:tcW w:w="1417" w:type="dxa"/>
            <w:shd w:val="clear" w:color="auto" w:fill="A6A6A6" w:themeFill="background1" w:themeFillShade="A6"/>
            <w:vAlign w:val="center"/>
            <w:hideMark/>
          </w:tcPr>
          <w:p w14:paraId="7AC97551" w14:textId="5782E430" w:rsidR="00237200" w:rsidRPr="00B9146C" w:rsidRDefault="007A23B4" w:rsidP="00F96F32">
            <w:pPr>
              <w:jc w:val="center"/>
              <w:rPr>
                <w:rFonts w:ascii="Times New Roman" w:hAnsi="Times New Roman" w:cs="Times New Roman"/>
                <w:b/>
                <w:bCs/>
                <w:color w:val="FFFFFF" w:themeColor="background1"/>
                <w:sz w:val="20"/>
                <w:szCs w:val="20"/>
              </w:rPr>
            </w:pPr>
            <w:r w:rsidRPr="007A23B4">
              <w:rPr>
                <w:rFonts w:ascii="Times New Roman" w:hAnsi="Times New Roman" w:cs="Times New Roman"/>
                <w:b/>
                <w:bCs/>
                <w:color w:val="FFFFFF" w:themeColor="background1"/>
                <w:sz w:val="20"/>
                <w:szCs w:val="20"/>
              </w:rPr>
              <w:t>4 690 850,00</w:t>
            </w:r>
          </w:p>
        </w:tc>
      </w:tr>
      <w:tr w:rsidR="006F01A4" w:rsidRPr="00B9146C" w14:paraId="5DB1631F" w14:textId="77777777" w:rsidTr="006F01A4">
        <w:trPr>
          <w:trHeight w:val="288"/>
        </w:trPr>
        <w:tc>
          <w:tcPr>
            <w:tcW w:w="2411" w:type="dxa"/>
            <w:shd w:val="clear" w:color="auto" w:fill="D9D9D9" w:themeFill="background1" w:themeFillShade="D9"/>
            <w:vAlign w:val="center"/>
            <w:hideMark/>
          </w:tcPr>
          <w:p w14:paraId="1A54A547" w14:textId="77777777" w:rsidR="00237200" w:rsidRPr="00B9146C" w:rsidRDefault="00237200" w:rsidP="009A1121">
            <w:pPr>
              <w:rPr>
                <w:rFonts w:ascii="Times New Roman" w:hAnsi="Times New Roman" w:cs="Times New Roman"/>
                <w:b/>
                <w:bCs/>
                <w:sz w:val="20"/>
                <w:szCs w:val="20"/>
              </w:rPr>
            </w:pPr>
            <w:r w:rsidRPr="00B9146C">
              <w:rPr>
                <w:rFonts w:ascii="Times New Roman" w:hAnsi="Times New Roman" w:cs="Times New Roman"/>
                <w:b/>
                <w:bCs/>
                <w:sz w:val="20"/>
                <w:szCs w:val="20"/>
              </w:rPr>
              <w:t>Zadanie 6 - Moduł Płatności</w:t>
            </w:r>
          </w:p>
        </w:tc>
        <w:tc>
          <w:tcPr>
            <w:tcW w:w="1275" w:type="dxa"/>
            <w:vAlign w:val="center"/>
            <w:hideMark/>
          </w:tcPr>
          <w:p w14:paraId="3C554665" w14:textId="5378E139" w:rsidR="00237200" w:rsidRPr="00B9146C" w:rsidRDefault="007A23B4" w:rsidP="00F96F32">
            <w:pPr>
              <w:jc w:val="center"/>
              <w:rPr>
                <w:rFonts w:ascii="Times New Roman" w:hAnsi="Times New Roman" w:cs="Times New Roman"/>
                <w:sz w:val="20"/>
                <w:szCs w:val="20"/>
              </w:rPr>
            </w:pPr>
            <w:r w:rsidRPr="007A23B4">
              <w:rPr>
                <w:rFonts w:ascii="Times New Roman" w:hAnsi="Times New Roman" w:cs="Times New Roman"/>
                <w:sz w:val="20"/>
                <w:szCs w:val="20"/>
              </w:rPr>
              <w:t>62 250,00</w:t>
            </w:r>
          </w:p>
        </w:tc>
        <w:tc>
          <w:tcPr>
            <w:tcW w:w="1276" w:type="dxa"/>
            <w:vAlign w:val="center"/>
            <w:hideMark/>
          </w:tcPr>
          <w:p w14:paraId="2E7A73F9" w14:textId="48B307C7" w:rsidR="00237200" w:rsidRPr="00B9146C" w:rsidRDefault="000A5A94" w:rsidP="00F96F32">
            <w:pPr>
              <w:jc w:val="center"/>
              <w:rPr>
                <w:rFonts w:ascii="Times New Roman" w:hAnsi="Times New Roman" w:cs="Times New Roman"/>
                <w:sz w:val="20"/>
                <w:szCs w:val="20"/>
              </w:rPr>
            </w:pPr>
            <w:r w:rsidRPr="000A5A94">
              <w:rPr>
                <w:rFonts w:ascii="Times New Roman" w:hAnsi="Times New Roman" w:cs="Times New Roman"/>
                <w:sz w:val="20"/>
                <w:szCs w:val="20"/>
              </w:rPr>
              <w:t>62 250,00</w:t>
            </w:r>
          </w:p>
        </w:tc>
        <w:tc>
          <w:tcPr>
            <w:tcW w:w="1418" w:type="dxa"/>
            <w:vAlign w:val="center"/>
            <w:hideMark/>
          </w:tcPr>
          <w:p w14:paraId="2ABFE4C9" w14:textId="173E3543" w:rsidR="00237200" w:rsidRPr="00B9146C" w:rsidRDefault="000A5A94" w:rsidP="00F96F32">
            <w:pPr>
              <w:jc w:val="center"/>
              <w:rPr>
                <w:rFonts w:ascii="Times New Roman" w:hAnsi="Times New Roman" w:cs="Times New Roman"/>
                <w:sz w:val="20"/>
                <w:szCs w:val="20"/>
              </w:rPr>
            </w:pPr>
            <w:r w:rsidRPr="000A5A94">
              <w:rPr>
                <w:rFonts w:ascii="Times New Roman" w:hAnsi="Times New Roman" w:cs="Times New Roman"/>
                <w:sz w:val="20"/>
                <w:szCs w:val="20"/>
              </w:rPr>
              <w:t>62 250,00</w:t>
            </w:r>
          </w:p>
        </w:tc>
        <w:tc>
          <w:tcPr>
            <w:tcW w:w="1417" w:type="dxa"/>
            <w:vAlign w:val="center"/>
            <w:hideMark/>
          </w:tcPr>
          <w:p w14:paraId="1EB8B7E2" w14:textId="488E0842" w:rsidR="00237200" w:rsidRPr="00B9146C" w:rsidRDefault="000A5A94" w:rsidP="00F96F32">
            <w:pPr>
              <w:jc w:val="center"/>
              <w:rPr>
                <w:rFonts w:ascii="Times New Roman" w:hAnsi="Times New Roman" w:cs="Times New Roman"/>
                <w:sz w:val="20"/>
                <w:szCs w:val="20"/>
              </w:rPr>
            </w:pPr>
            <w:r w:rsidRPr="000A5A94">
              <w:rPr>
                <w:rFonts w:ascii="Times New Roman" w:hAnsi="Times New Roman" w:cs="Times New Roman"/>
                <w:sz w:val="20"/>
                <w:szCs w:val="20"/>
              </w:rPr>
              <w:t>62 250,00</w:t>
            </w:r>
          </w:p>
        </w:tc>
        <w:tc>
          <w:tcPr>
            <w:tcW w:w="1418" w:type="dxa"/>
            <w:vAlign w:val="center"/>
            <w:hideMark/>
          </w:tcPr>
          <w:p w14:paraId="2F7309CE" w14:textId="0BDF994E" w:rsidR="00237200" w:rsidRPr="00B9146C" w:rsidRDefault="000A5A94" w:rsidP="00F96F32">
            <w:pPr>
              <w:jc w:val="center"/>
              <w:rPr>
                <w:rFonts w:ascii="Times New Roman" w:hAnsi="Times New Roman" w:cs="Times New Roman"/>
                <w:sz w:val="20"/>
                <w:szCs w:val="20"/>
              </w:rPr>
            </w:pPr>
            <w:r w:rsidRPr="000A5A94">
              <w:rPr>
                <w:rFonts w:ascii="Times New Roman" w:hAnsi="Times New Roman" w:cs="Times New Roman"/>
                <w:sz w:val="20"/>
                <w:szCs w:val="20"/>
              </w:rPr>
              <w:t>62 250,00</w:t>
            </w:r>
          </w:p>
        </w:tc>
        <w:tc>
          <w:tcPr>
            <w:tcW w:w="1417" w:type="dxa"/>
            <w:shd w:val="clear" w:color="auto" w:fill="A6A6A6" w:themeFill="background1" w:themeFillShade="A6"/>
            <w:vAlign w:val="center"/>
            <w:hideMark/>
          </w:tcPr>
          <w:p w14:paraId="6B4C0038" w14:textId="1C090A33" w:rsidR="00237200" w:rsidRPr="00B9146C" w:rsidRDefault="000A5A94" w:rsidP="00F96F32">
            <w:pPr>
              <w:jc w:val="center"/>
              <w:rPr>
                <w:rFonts w:ascii="Times New Roman" w:hAnsi="Times New Roman" w:cs="Times New Roman"/>
                <w:b/>
                <w:bCs/>
                <w:color w:val="FFFFFF" w:themeColor="background1"/>
                <w:sz w:val="20"/>
                <w:szCs w:val="20"/>
              </w:rPr>
            </w:pPr>
            <w:r w:rsidRPr="000A5A94">
              <w:rPr>
                <w:rFonts w:ascii="Times New Roman" w:hAnsi="Times New Roman" w:cs="Times New Roman"/>
                <w:b/>
                <w:bCs/>
                <w:color w:val="FFFFFF" w:themeColor="background1"/>
                <w:sz w:val="20"/>
                <w:szCs w:val="20"/>
              </w:rPr>
              <w:t>311 250,00</w:t>
            </w:r>
          </w:p>
        </w:tc>
      </w:tr>
      <w:tr w:rsidR="006F01A4" w:rsidRPr="00B9146C" w14:paraId="2A382997" w14:textId="77777777" w:rsidTr="006F01A4">
        <w:trPr>
          <w:trHeight w:val="576"/>
        </w:trPr>
        <w:tc>
          <w:tcPr>
            <w:tcW w:w="2411" w:type="dxa"/>
            <w:shd w:val="clear" w:color="auto" w:fill="D9D9D9" w:themeFill="background1" w:themeFillShade="D9"/>
            <w:vAlign w:val="center"/>
            <w:hideMark/>
          </w:tcPr>
          <w:p w14:paraId="793482FC" w14:textId="77777777" w:rsidR="00237200" w:rsidRPr="00B9146C" w:rsidRDefault="00237200" w:rsidP="009A1121">
            <w:pPr>
              <w:rPr>
                <w:rFonts w:ascii="Times New Roman" w:hAnsi="Times New Roman" w:cs="Times New Roman"/>
                <w:b/>
                <w:bCs/>
                <w:sz w:val="20"/>
                <w:szCs w:val="20"/>
                <w:lang w:val="en-US"/>
              </w:rPr>
            </w:pPr>
            <w:proofErr w:type="spellStart"/>
            <w:r w:rsidRPr="00B9146C">
              <w:rPr>
                <w:rFonts w:ascii="Times New Roman" w:hAnsi="Times New Roman" w:cs="Times New Roman"/>
                <w:b/>
                <w:bCs/>
                <w:sz w:val="20"/>
                <w:szCs w:val="20"/>
                <w:lang w:val="en-US"/>
              </w:rPr>
              <w:t>Zadanie</w:t>
            </w:r>
            <w:proofErr w:type="spellEnd"/>
            <w:r w:rsidRPr="00B9146C">
              <w:rPr>
                <w:rFonts w:ascii="Times New Roman" w:hAnsi="Times New Roman" w:cs="Times New Roman"/>
                <w:b/>
                <w:bCs/>
                <w:sz w:val="20"/>
                <w:szCs w:val="20"/>
                <w:lang w:val="en-US"/>
              </w:rPr>
              <w:t xml:space="preserve"> 7 - </w:t>
            </w:r>
            <w:proofErr w:type="spellStart"/>
            <w:r w:rsidRPr="00B9146C">
              <w:rPr>
                <w:rFonts w:ascii="Times New Roman" w:hAnsi="Times New Roman" w:cs="Times New Roman"/>
                <w:b/>
                <w:bCs/>
                <w:sz w:val="20"/>
                <w:szCs w:val="20"/>
                <w:lang w:val="en-US"/>
              </w:rPr>
              <w:t>Moduł</w:t>
            </w:r>
            <w:proofErr w:type="spellEnd"/>
            <w:r w:rsidRPr="00B9146C">
              <w:rPr>
                <w:rFonts w:ascii="Times New Roman" w:hAnsi="Times New Roman" w:cs="Times New Roman"/>
                <w:b/>
                <w:bCs/>
                <w:sz w:val="20"/>
                <w:szCs w:val="20"/>
                <w:lang w:val="en-US"/>
              </w:rPr>
              <w:t xml:space="preserve"> Dynamic Safety and security</w:t>
            </w:r>
          </w:p>
        </w:tc>
        <w:tc>
          <w:tcPr>
            <w:tcW w:w="1275" w:type="dxa"/>
            <w:vAlign w:val="center"/>
            <w:hideMark/>
          </w:tcPr>
          <w:p w14:paraId="6E91FEDF" w14:textId="21D8F73C" w:rsidR="00237200" w:rsidRPr="00B9146C" w:rsidRDefault="007E1B71" w:rsidP="00F96F32">
            <w:pPr>
              <w:jc w:val="center"/>
              <w:rPr>
                <w:rFonts w:ascii="Times New Roman" w:hAnsi="Times New Roman" w:cs="Times New Roman"/>
                <w:sz w:val="20"/>
                <w:szCs w:val="20"/>
              </w:rPr>
            </w:pPr>
            <w:r w:rsidRPr="007E1B71">
              <w:rPr>
                <w:rFonts w:ascii="Times New Roman" w:hAnsi="Times New Roman" w:cs="Times New Roman"/>
                <w:sz w:val="20"/>
                <w:szCs w:val="20"/>
              </w:rPr>
              <w:t>825 730,00</w:t>
            </w:r>
          </w:p>
        </w:tc>
        <w:tc>
          <w:tcPr>
            <w:tcW w:w="1276" w:type="dxa"/>
            <w:vAlign w:val="center"/>
            <w:hideMark/>
          </w:tcPr>
          <w:p w14:paraId="71EB9EA1" w14:textId="1B916ED3" w:rsidR="00237200" w:rsidRPr="00B9146C" w:rsidRDefault="007E1B71" w:rsidP="00F96F32">
            <w:pPr>
              <w:jc w:val="center"/>
              <w:rPr>
                <w:rFonts w:ascii="Times New Roman" w:hAnsi="Times New Roman" w:cs="Times New Roman"/>
                <w:sz w:val="20"/>
                <w:szCs w:val="20"/>
              </w:rPr>
            </w:pPr>
            <w:r w:rsidRPr="007E1B71">
              <w:rPr>
                <w:rFonts w:ascii="Times New Roman" w:hAnsi="Times New Roman" w:cs="Times New Roman"/>
                <w:sz w:val="20"/>
                <w:szCs w:val="20"/>
              </w:rPr>
              <w:t>830 530,00</w:t>
            </w:r>
          </w:p>
        </w:tc>
        <w:tc>
          <w:tcPr>
            <w:tcW w:w="1418" w:type="dxa"/>
            <w:vAlign w:val="center"/>
            <w:hideMark/>
          </w:tcPr>
          <w:p w14:paraId="77317CCC" w14:textId="355546B5" w:rsidR="00237200" w:rsidRPr="00B9146C" w:rsidRDefault="007E1B71" w:rsidP="00F96F32">
            <w:pPr>
              <w:jc w:val="center"/>
              <w:rPr>
                <w:rFonts w:ascii="Times New Roman" w:hAnsi="Times New Roman" w:cs="Times New Roman"/>
                <w:sz w:val="20"/>
                <w:szCs w:val="20"/>
              </w:rPr>
            </w:pPr>
            <w:r w:rsidRPr="007E1B71">
              <w:rPr>
                <w:rFonts w:ascii="Times New Roman" w:hAnsi="Times New Roman" w:cs="Times New Roman"/>
                <w:sz w:val="20"/>
                <w:szCs w:val="20"/>
              </w:rPr>
              <w:t>830 530,00</w:t>
            </w:r>
          </w:p>
        </w:tc>
        <w:tc>
          <w:tcPr>
            <w:tcW w:w="1417" w:type="dxa"/>
            <w:vAlign w:val="center"/>
            <w:hideMark/>
          </w:tcPr>
          <w:p w14:paraId="408D971E" w14:textId="23864E1F" w:rsidR="00237200" w:rsidRPr="00B9146C" w:rsidRDefault="002E4D4C" w:rsidP="00F96F32">
            <w:pPr>
              <w:jc w:val="center"/>
              <w:rPr>
                <w:rFonts w:ascii="Times New Roman" w:hAnsi="Times New Roman" w:cs="Times New Roman"/>
                <w:sz w:val="20"/>
                <w:szCs w:val="20"/>
              </w:rPr>
            </w:pPr>
            <w:r w:rsidRPr="002E4D4C">
              <w:rPr>
                <w:rFonts w:ascii="Times New Roman" w:hAnsi="Times New Roman" w:cs="Times New Roman"/>
                <w:sz w:val="20"/>
                <w:szCs w:val="20"/>
              </w:rPr>
              <w:t>831 530,00</w:t>
            </w:r>
          </w:p>
        </w:tc>
        <w:tc>
          <w:tcPr>
            <w:tcW w:w="1418" w:type="dxa"/>
            <w:vAlign w:val="center"/>
            <w:hideMark/>
          </w:tcPr>
          <w:p w14:paraId="12EB413A" w14:textId="726FAFDC" w:rsidR="00237200" w:rsidRPr="00B9146C" w:rsidRDefault="002E4D4C" w:rsidP="00F96F32">
            <w:pPr>
              <w:jc w:val="center"/>
              <w:rPr>
                <w:rFonts w:ascii="Times New Roman" w:hAnsi="Times New Roman" w:cs="Times New Roman"/>
                <w:sz w:val="20"/>
                <w:szCs w:val="20"/>
              </w:rPr>
            </w:pPr>
            <w:r w:rsidRPr="002E4D4C">
              <w:rPr>
                <w:rFonts w:ascii="Times New Roman" w:hAnsi="Times New Roman" w:cs="Times New Roman"/>
                <w:sz w:val="20"/>
                <w:szCs w:val="20"/>
              </w:rPr>
              <w:t>832 530,00</w:t>
            </w:r>
          </w:p>
        </w:tc>
        <w:tc>
          <w:tcPr>
            <w:tcW w:w="1417" w:type="dxa"/>
            <w:shd w:val="clear" w:color="auto" w:fill="A6A6A6" w:themeFill="background1" w:themeFillShade="A6"/>
            <w:vAlign w:val="center"/>
            <w:hideMark/>
          </w:tcPr>
          <w:p w14:paraId="6632140D" w14:textId="41BA7864" w:rsidR="00237200" w:rsidRPr="00B9146C" w:rsidRDefault="004E213E" w:rsidP="00F96F32">
            <w:pPr>
              <w:jc w:val="center"/>
              <w:rPr>
                <w:rFonts w:ascii="Times New Roman" w:hAnsi="Times New Roman" w:cs="Times New Roman"/>
                <w:b/>
                <w:bCs/>
                <w:color w:val="FFFFFF" w:themeColor="background1"/>
                <w:sz w:val="20"/>
                <w:szCs w:val="20"/>
              </w:rPr>
            </w:pPr>
            <w:r w:rsidRPr="004E213E">
              <w:rPr>
                <w:rFonts w:ascii="Times New Roman" w:hAnsi="Times New Roman" w:cs="Times New Roman"/>
                <w:b/>
                <w:bCs/>
                <w:color w:val="FFFFFF" w:themeColor="background1"/>
                <w:sz w:val="20"/>
                <w:szCs w:val="20"/>
              </w:rPr>
              <w:t>4 150 850,00</w:t>
            </w:r>
          </w:p>
        </w:tc>
      </w:tr>
      <w:tr w:rsidR="006F01A4" w:rsidRPr="00B9146C" w14:paraId="51CC2E33" w14:textId="77777777" w:rsidTr="006F01A4">
        <w:trPr>
          <w:trHeight w:val="576"/>
        </w:trPr>
        <w:tc>
          <w:tcPr>
            <w:tcW w:w="2411" w:type="dxa"/>
            <w:shd w:val="clear" w:color="auto" w:fill="D9D9D9" w:themeFill="background1" w:themeFillShade="D9"/>
            <w:vAlign w:val="center"/>
            <w:hideMark/>
          </w:tcPr>
          <w:p w14:paraId="47A04ACA" w14:textId="77777777" w:rsidR="00237200" w:rsidRPr="00B9146C" w:rsidRDefault="00237200" w:rsidP="009A1121">
            <w:pPr>
              <w:rPr>
                <w:rFonts w:ascii="Times New Roman" w:hAnsi="Times New Roman" w:cs="Times New Roman"/>
                <w:b/>
                <w:bCs/>
                <w:sz w:val="20"/>
                <w:szCs w:val="20"/>
              </w:rPr>
            </w:pPr>
            <w:r w:rsidRPr="00B9146C">
              <w:rPr>
                <w:rFonts w:ascii="Times New Roman" w:hAnsi="Times New Roman" w:cs="Times New Roman"/>
                <w:b/>
                <w:bCs/>
                <w:sz w:val="20"/>
                <w:szCs w:val="20"/>
              </w:rPr>
              <w:lastRenderedPageBreak/>
              <w:t>Zadanie 8 - Moduł Zaawansowane loty BSP na szeroką skalę</w:t>
            </w:r>
          </w:p>
        </w:tc>
        <w:tc>
          <w:tcPr>
            <w:tcW w:w="1275" w:type="dxa"/>
            <w:vAlign w:val="center"/>
            <w:hideMark/>
          </w:tcPr>
          <w:p w14:paraId="6B62056A" w14:textId="29A97CB4" w:rsidR="00237200" w:rsidRPr="00EF1726" w:rsidRDefault="004E213E" w:rsidP="00F96F32">
            <w:pPr>
              <w:jc w:val="center"/>
              <w:rPr>
                <w:rFonts w:ascii="Times New Roman" w:hAnsi="Times New Roman" w:cs="Times New Roman"/>
                <w:sz w:val="20"/>
                <w:szCs w:val="20"/>
              </w:rPr>
            </w:pPr>
            <w:r w:rsidRPr="00EF1726">
              <w:rPr>
                <w:rFonts w:ascii="Times New Roman" w:hAnsi="Times New Roman" w:cs="Times New Roman"/>
                <w:sz w:val="20"/>
                <w:szCs w:val="20"/>
              </w:rPr>
              <w:t>2 587 730,00</w:t>
            </w:r>
          </w:p>
        </w:tc>
        <w:tc>
          <w:tcPr>
            <w:tcW w:w="1276" w:type="dxa"/>
            <w:vAlign w:val="center"/>
            <w:hideMark/>
          </w:tcPr>
          <w:p w14:paraId="2A76B223" w14:textId="6621E034" w:rsidR="00237200" w:rsidRPr="00EF1726" w:rsidRDefault="004E213E" w:rsidP="00F96F32">
            <w:pPr>
              <w:jc w:val="center"/>
              <w:rPr>
                <w:rFonts w:ascii="Times New Roman" w:hAnsi="Times New Roman" w:cs="Times New Roman"/>
                <w:sz w:val="20"/>
                <w:szCs w:val="20"/>
              </w:rPr>
            </w:pPr>
            <w:r w:rsidRPr="00EF1726">
              <w:rPr>
                <w:rFonts w:ascii="Times New Roman" w:hAnsi="Times New Roman" w:cs="Times New Roman"/>
                <w:sz w:val="20"/>
                <w:szCs w:val="20"/>
              </w:rPr>
              <w:t>2 749 530,00</w:t>
            </w:r>
          </w:p>
        </w:tc>
        <w:tc>
          <w:tcPr>
            <w:tcW w:w="1418" w:type="dxa"/>
            <w:vAlign w:val="center"/>
            <w:hideMark/>
          </w:tcPr>
          <w:p w14:paraId="269CC1A8" w14:textId="3CA30A6D" w:rsidR="00237200" w:rsidRPr="00EF1726" w:rsidRDefault="004E213E" w:rsidP="00F96F32">
            <w:pPr>
              <w:jc w:val="center"/>
              <w:rPr>
                <w:rFonts w:ascii="Times New Roman" w:hAnsi="Times New Roman" w:cs="Times New Roman"/>
                <w:sz w:val="20"/>
                <w:szCs w:val="20"/>
              </w:rPr>
            </w:pPr>
            <w:r w:rsidRPr="00EF1726">
              <w:rPr>
                <w:rFonts w:ascii="Times New Roman" w:hAnsi="Times New Roman" w:cs="Times New Roman"/>
                <w:sz w:val="20"/>
                <w:szCs w:val="20"/>
              </w:rPr>
              <w:t>3 077 530,00</w:t>
            </w:r>
          </w:p>
        </w:tc>
        <w:tc>
          <w:tcPr>
            <w:tcW w:w="1417" w:type="dxa"/>
            <w:vAlign w:val="center"/>
            <w:hideMark/>
          </w:tcPr>
          <w:p w14:paraId="66BE14CF" w14:textId="55D3C1C7" w:rsidR="00237200" w:rsidRPr="00EF1726" w:rsidRDefault="000B5F93" w:rsidP="00F96F32">
            <w:pPr>
              <w:jc w:val="center"/>
              <w:rPr>
                <w:rFonts w:ascii="Times New Roman" w:hAnsi="Times New Roman" w:cs="Times New Roman"/>
                <w:sz w:val="20"/>
                <w:szCs w:val="20"/>
              </w:rPr>
            </w:pPr>
            <w:r w:rsidRPr="00EF1726">
              <w:rPr>
                <w:rFonts w:ascii="Times New Roman" w:hAnsi="Times New Roman" w:cs="Times New Roman"/>
                <w:sz w:val="20"/>
                <w:szCs w:val="20"/>
              </w:rPr>
              <w:t>3 256 530,00</w:t>
            </w:r>
          </w:p>
        </w:tc>
        <w:tc>
          <w:tcPr>
            <w:tcW w:w="1418" w:type="dxa"/>
            <w:vAlign w:val="center"/>
            <w:hideMark/>
          </w:tcPr>
          <w:p w14:paraId="25312DAE" w14:textId="37BDC264" w:rsidR="00237200" w:rsidRPr="00EF1726" w:rsidRDefault="000B5F93" w:rsidP="00F96F32">
            <w:pPr>
              <w:jc w:val="center"/>
              <w:rPr>
                <w:rFonts w:ascii="Times New Roman" w:hAnsi="Times New Roman" w:cs="Times New Roman"/>
                <w:sz w:val="20"/>
                <w:szCs w:val="20"/>
              </w:rPr>
            </w:pPr>
            <w:r w:rsidRPr="00EF1726">
              <w:rPr>
                <w:rFonts w:ascii="Times New Roman" w:hAnsi="Times New Roman" w:cs="Times New Roman"/>
                <w:sz w:val="20"/>
                <w:szCs w:val="20"/>
              </w:rPr>
              <w:t>3 404 530,00</w:t>
            </w:r>
          </w:p>
        </w:tc>
        <w:tc>
          <w:tcPr>
            <w:tcW w:w="1417" w:type="dxa"/>
            <w:shd w:val="clear" w:color="auto" w:fill="A6A6A6" w:themeFill="background1" w:themeFillShade="A6"/>
            <w:vAlign w:val="center"/>
            <w:hideMark/>
          </w:tcPr>
          <w:p w14:paraId="6AB235F0" w14:textId="05D73AAB" w:rsidR="00237200" w:rsidRPr="00EF1726" w:rsidRDefault="00B72C56" w:rsidP="00F96F32">
            <w:pPr>
              <w:jc w:val="center"/>
              <w:rPr>
                <w:rFonts w:ascii="Times New Roman" w:hAnsi="Times New Roman" w:cs="Times New Roman"/>
                <w:b/>
                <w:bCs/>
                <w:sz w:val="20"/>
                <w:szCs w:val="20"/>
              </w:rPr>
            </w:pPr>
            <w:r w:rsidRPr="00E661F2">
              <w:rPr>
                <w:rFonts w:ascii="Times New Roman" w:hAnsi="Times New Roman" w:cs="Times New Roman"/>
                <w:b/>
                <w:bCs/>
                <w:color w:val="FFFFFF" w:themeColor="background1"/>
                <w:sz w:val="20"/>
                <w:szCs w:val="20"/>
              </w:rPr>
              <w:t>15 075 850,00</w:t>
            </w:r>
          </w:p>
        </w:tc>
      </w:tr>
      <w:tr w:rsidR="006F01A4" w:rsidRPr="00B9146C" w14:paraId="747886CF" w14:textId="77777777" w:rsidTr="006F01A4">
        <w:trPr>
          <w:trHeight w:val="864"/>
        </w:trPr>
        <w:tc>
          <w:tcPr>
            <w:tcW w:w="2411" w:type="dxa"/>
            <w:shd w:val="clear" w:color="auto" w:fill="D9D9D9" w:themeFill="background1" w:themeFillShade="D9"/>
            <w:vAlign w:val="center"/>
            <w:hideMark/>
          </w:tcPr>
          <w:p w14:paraId="21153797" w14:textId="77777777" w:rsidR="00237200" w:rsidRPr="00B9146C" w:rsidRDefault="00237200" w:rsidP="009A1121">
            <w:pPr>
              <w:rPr>
                <w:rFonts w:ascii="Times New Roman" w:hAnsi="Times New Roman" w:cs="Times New Roman"/>
                <w:b/>
                <w:bCs/>
                <w:sz w:val="20"/>
                <w:szCs w:val="20"/>
              </w:rPr>
            </w:pPr>
            <w:r w:rsidRPr="00B9146C">
              <w:rPr>
                <w:rFonts w:ascii="Times New Roman" w:hAnsi="Times New Roman" w:cs="Times New Roman"/>
                <w:b/>
                <w:bCs/>
                <w:sz w:val="20"/>
                <w:szCs w:val="20"/>
              </w:rPr>
              <w:t>Zadanie 9 - Moduł Zaawansowane loty BSP na szeroką skalę - przygotowanie 3 miast do wdrożenia usługi</w:t>
            </w:r>
          </w:p>
        </w:tc>
        <w:tc>
          <w:tcPr>
            <w:tcW w:w="1275" w:type="dxa"/>
            <w:vAlign w:val="center"/>
            <w:hideMark/>
          </w:tcPr>
          <w:p w14:paraId="46026642" w14:textId="394AF622" w:rsidR="00237200" w:rsidRPr="00B72C56" w:rsidRDefault="00237200" w:rsidP="00F96F32">
            <w:pPr>
              <w:jc w:val="center"/>
              <w:rPr>
                <w:rFonts w:ascii="Times New Roman" w:hAnsi="Times New Roman" w:cs="Times New Roman"/>
                <w:sz w:val="20"/>
                <w:szCs w:val="20"/>
              </w:rPr>
            </w:pPr>
            <w:r w:rsidRPr="00B72C56">
              <w:rPr>
                <w:rFonts w:ascii="Times New Roman" w:hAnsi="Times New Roman" w:cs="Times New Roman"/>
                <w:sz w:val="20"/>
                <w:szCs w:val="20"/>
              </w:rPr>
              <w:t>-</w:t>
            </w:r>
          </w:p>
        </w:tc>
        <w:tc>
          <w:tcPr>
            <w:tcW w:w="1276" w:type="dxa"/>
            <w:vAlign w:val="center"/>
            <w:hideMark/>
          </w:tcPr>
          <w:p w14:paraId="6519D9FA" w14:textId="756BF716" w:rsidR="00237200" w:rsidRPr="00B72C56" w:rsidRDefault="00237200" w:rsidP="00F96F32">
            <w:pPr>
              <w:jc w:val="center"/>
              <w:rPr>
                <w:rFonts w:ascii="Times New Roman" w:hAnsi="Times New Roman" w:cs="Times New Roman"/>
                <w:sz w:val="20"/>
                <w:szCs w:val="20"/>
              </w:rPr>
            </w:pPr>
            <w:r w:rsidRPr="00B72C56">
              <w:rPr>
                <w:rFonts w:ascii="Times New Roman" w:hAnsi="Times New Roman" w:cs="Times New Roman"/>
                <w:sz w:val="20"/>
                <w:szCs w:val="20"/>
              </w:rPr>
              <w:t>-</w:t>
            </w:r>
          </w:p>
        </w:tc>
        <w:tc>
          <w:tcPr>
            <w:tcW w:w="1418" w:type="dxa"/>
            <w:vAlign w:val="center"/>
            <w:hideMark/>
          </w:tcPr>
          <w:p w14:paraId="2BCC2A28" w14:textId="09095621" w:rsidR="00237200" w:rsidRPr="00B72C56" w:rsidRDefault="00237200" w:rsidP="00F96F32">
            <w:pPr>
              <w:jc w:val="center"/>
              <w:rPr>
                <w:rFonts w:ascii="Times New Roman" w:hAnsi="Times New Roman" w:cs="Times New Roman"/>
                <w:sz w:val="20"/>
                <w:szCs w:val="20"/>
              </w:rPr>
            </w:pPr>
            <w:r w:rsidRPr="00B72C56">
              <w:rPr>
                <w:rFonts w:ascii="Times New Roman" w:hAnsi="Times New Roman" w:cs="Times New Roman"/>
                <w:sz w:val="20"/>
                <w:szCs w:val="20"/>
              </w:rPr>
              <w:t>-</w:t>
            </w:r>
          </w:p>
        </w:tc>
        <w:tc>
          <w:tcPr>
            <w:tcW w:w="1417" w:type="dxa"/>
            <w:vAlign w:val="center"/>
            <w:hideMark/>
          </w:tcPr>
          <w:p w14:paraId="527A0E4E" w14:textId="33DB54CB" w:rsidR="00237200" w:rsidRPr="00B72C56" w:rsidRDefault="00237200" w:rsidP="00F96F32">
            <w:pPr>
              <w:jc w:val="center"/>
              <w:rPr>
                <w:rFonts w:ascii="Times New Roman" w:hAnsi="Times New Roman" w:cs="Times New Roman"/>
                <w:sz w:val="20"/>
                <w:szCs w:val="20"/>
              </w:rPr>
            </w:pPr>
            <w:r w:rsidRPr="00B72C56">
              <w:rPr>
                <w:rFonts w:ascii="Times New Roman" w:hAnsi="Times New Roman" w:cs="Times New Roman"/>
                <w:sz w:val="20"/>
                <w:szCs w:val="20"/>
              </w:rPr>
              <w:t>-</w:t>
            </w:r>
          </w:p>
        </w:tc>
        <w:tc>
          <w:tcPr>
            <w:tcW w:w="1418" w:type="dxa"/>
            <w:vAlign w:val="center"/>
            <w:hideMark/>
          </w:tcPr>
          <w:p w14:paraId="2F83B502" w14:textId="36553109" w:rsidR="00237200" w:rsidRPr="00B72C56" w:rsidRDefault="00237200" w:rsidP="00F96F32">
            <w:pPr>
              <w:jc w:val="center"/>
              <w:rPr>
                <w:rFonts w:ascii="Times New Roman" w:hAnsi="Times New Roman" w:cs="Times New Roman"/>
                <w:sz w:val="20"/>
                <w:szCs w:val="20"/>
              </w:rPr>
            </w:pPr>
            <w:r w:rsidRPr="00B72C56">
              <w:rPr>
                <w:rFonts w:ascii="Times New Roman" w:hAnsi="Times New Roman" w:cs="Times New Roman"/>
                <w:sz w:val="20"/>
                <w:szCs w:val="20"/>
              </w:rPr>
              <w:t>-</w:t>
            </w:r>
          </w:p>
        </w:tc>
        <w:tc>
          <w:tcPr>
            <w:tcW w:w="1417" w:type="dxa"/>
            <w:shd w:val="clear" w:color="auto" w:fill="A6A6A6" w:themeFill="background1" w:themeFillShade="A6"/>
            <w:vAlign w:val="center"/>
            <w:hideMark/>
          </w:tcPr>
          <w:p w14:paraId="6AC3CC11" w14:textId="272CBA1F" w:rsidR="00237200" w:rsidRPr="00EF1726" w:rsidRDefault="00237200" w:rsidP="00F96F32">
            <w:pPr>
              <w:jc w:val="center"/>
              <w:rPr>
                <w:rFonts w:ascii="Times New Roman" w:hAnsi="Times New Roman" w:cs="Times New Roman"/>
                <w:b/>
                <w:bCs/>
                <w:sz w:val="20"/>
                <w:szCs w:val="20"/>
              </w:rPr>
            </w:pPr>
            <w:r w:rsidRPr="00EF1726">
              <w:rPr>
                <w:rFonts w:ascii="Times New Roman" w:hAnsi="Times New Roman" w:cs="Times New Roman"/>
                <w:b/>
                <w:bCs/>
                <w:sz w:val="20"/>
                <w:szCs w:val="20"/>
              </w:rPr>
              <w:t>-</w:t>
            </w:r>
          </w:p>
        </w:tc>
      </w:tr>
      <w:tr w:rsidR="0046536B" w:rsidRPr="00B9146C" w14:paraId="68FC866A" w14:textId="77777777" w:rsidTr="00B124F1">
        <w:trPr>
          <w:trHeight w:val="288"/>
        </w:trPr>
        <w:tc>
          <w:tcPr>
            <w:tcW w:w="2411" w:type="dxa"/>
            <w:shd w:val="clear" w:color="auto" w:fill="D9D9D9" w:themeFill="background1" w:themeFillShade="D9"/>
            <w:vAlign w:val="center"/>
          </w:tcPr>
          <w:p w14:paraId="45C844E1" w14:textId="0525BA42" w:rsidR="0046536B" w:rsidRPr="00B9146C" w:rsidRDefault="0046536B" w:rsidP="0046536B">
            <w:pPr>
              <w:rPr>
                <w:rFonts w:ascii="Times New Roman" w:hAnsi="Times New Roman" w:cs="Times New Roman"/>
                <w:b/>
                <w:bCs/>
                <w:sz w:val="20"/>
                <w:szCs w:val="20"/>
              </w:rPr>
            </w:pPr>
            <w:r w:rsidRPr="00B9146C">
              <w:rPr>
                <w:rFonts w:ascii="Times New Roman" w:hAnsi="Times New Roman" w:cs="Times New Roman"/>
                <w:b/>
                <w:bCs/>
                <w:sz w:val="20"/>
                <w:szCs w:val="20"/>
              </w:rPr>
              <w:t>Koszty pośrednie</w:t>
            </w:r>
          </w:p>
        </w:tc>
        <w:tc>
          <w:tcPr>
            <w:tcW w:w="1275" w:type="dxa"/>
            <w:shd w:val="clear" w:color="auto" w:fill="auto"/>
            <w:vAlign w:val="center"/>
          </w:tcPr>
          <w:p w14:paraId="2F073F23" w14:textId="191371D3" w:rsidR="0046536B" w:rsidRPr="00B9146C" w:rsidRDefault="0046536B" w:rsidP="00F96F32">
            <w:pPr>
              <w:jc w:val="center"/>
              <w:rPr>
                <w:rFonts w:ascii="Times New Roman" w:hAnsi="Times New Roman" w:cs="Times New Roman"/>
                <w:sz w:val="20"/>
                <w:szCs w:val="20"/>
              </w:rPr>
            </w:pPr>
            <w:r w:rsidRPr="00B9146C">
              <w:rPr>
                <w:rFonts w:ascii="Times New Roman" w:hAnsi="Times New Roman" w:cs="Times New Roman"/>
                <w:sz w:val="20"/>
                <w:szCs w:val="20"/>
              </w:rPr>
              <w:t>198 000,00</w:t>
            </w:r>
          </w:p>
        </w:tc>
        <w:tc>
          <w:tcPr>
            <w:tcW w:w="1276" w:type="dxa"/>
            <w:shd w:val="clear" w:color="auto" w:fill="auto"/>
          </w:tcPr>
          <w:p w14:paraId="440DDB8F" w14:textId="48D27F79" w:rsidR="0046536B" w:rsidRPr="00B9146C" w:rsidRDefault="0046536B" w:rsidP="00F96F32">
            <w:pPr>
              <w:jc w:val="center"/>
              <w:rPr>
                <w:rFonts w:ascii="Times New Roman" w:hAnsi="Times New Roman" w:cs="Times New Roman"/>
                <w:sz w:val="20"/>
                <w:szCs w:val="20"/>
              </w:rPr>
            </w:pPr>
            <w:r w:rsidRPr="00B9146C">
              <w:rPr>
                <w:rFonts w:ascii="Times New Roman" w:hAnsi="Times New Roman" w:cs="Times New Roman"/>
                <w:sz w:val="20"/>
                <w:szCs w:val="20"/>
              </w:rPr>
              <w:t>198 000,00</w:t>
            </w:r>
          </w:p>
        </w:tc>
        <w:tc>
          <w:tcPr>
            <w:tcW w:w="1418" w:type="dxa"/>
            <w:shd w:val="clear" w:color="auto" w:fill="auto"/>
          </w:tcPr>
          <w:p w14:paraId="62ACDF7A" w14:textId="4E7124B7" w:rsidR="0046536B" w:rsidRPr="00B9146C" w:rsidRDefault="0046536B" w:rsidP="00F96F32">
            <w:pPr>
              <w:jc w:val="center"/>
              <w:rPr>
                <w:rFonts w:ascii="Times New Roman" w:hAnsi="Times New Roman" w:cs="Times New Roman"/>
                <w:sz w:val="20"/>
                <w:szCs w:val="20"/>
              </w:rPr>
            </w:pPr>
            <w:r w:rsidRPr="00B9146C">
              <w:rPr>
                <w:rFonts w:ascii="Times New Roman" w:hAnsi="Times New Roman" w:cs="Times New Roman"/>
                <w:sz w:val="20"/>
                <w:szCs w:val="20"/>
              </w:rPr>
              <w:t>198 000,00</w:t>
            </w:r>
          </w:p>
        </w:tc>
        <w:tc>
          <w:tcPr>
            <w:tcW w:w="1417" w:type="dxa"/>
            <w:shd w:val="clear" w:color="auto" w:fill="auto"/>
          </w:tcPr>
          <w:p w14:paraId="1D06460E" w14:textId="659A5F90" w:rsidR="0046536B" w:rsidRPr="00B9146C" w:rsidRDefault="0046536B" w:rsidP="00F96F32">
            <w:pPr>
              <w:jc w:val="center"/>
              <w:rPr>
                <w:rFonts w:ascii="Times New Roman" w:hAnsi="Times New Roman" w:cs="Times New Roman"/>
                <w:sz w:val="20"/>
                <w:szCs w:val="20"/>
              </w:rPr>
            </w:pPr>
            <w:r w:rsidRPr="00B9146C">
              <w:rPr>
                <w:rFonts w:ascii="Times New Roman" w:hAnsi="Times New Roman" w:cs="Times New Roman"/>
                <w:sz w:val="20"/>
                <w:szCs w:val="20"/>
              </w:rPr>
              <w:t>198 000,00</w:t>
            </w:r>
          </w:p>
        </w:tc>
        <w:tc>
          <w:tcPr>
            <w:tcW w:w="1418" w:type="dxa"/>
            <w:shd w:val="clear" w:color="auto" w:fill="auto"/>
          </w:tcPr>
          <w:p w14:paraId="14BA4ECC" w14:textId="6E510468" w:rsidR="0046536B" w:rsidRPr="00B9146C" w:rsidRDefault="0046536B" w:rsidP="00F96F32">
            <w:pPr>
              <w:jc w:val="center"/>
              <w:rPr>
                <w:rFonts w:ascii="Times New Roman" w:hAnsi="Times New Roman" w:cs="Times New Roman"/>
                <w:sz w:val="20"/>
                <w:szCs w:val="20"/>
              </w:rPr>
            </w:pPr>
            <w:r w:rsidRPr="00B9146C">
              <w:rPr>
                <w:rFonts w:ascii="Times New Roman" w:hAnsi="Times New Roman" w:cs="Times New Roman"/>
                <w:sz w:val="20"/>
                <w:szCs w:val="20"/>
              </w:rPr>
              <w:t>198 000,00</w:t>
            </w:r>
          </w:p>
        </w:tc>
        <w:tc>
          <w:tcPr>
            <w:tcW w:w="1417" w:type="dxa"/>
            <w:shd w:val="clear" w:color="auto" w:fill="A6A6A6" w:themeFill="background1" w:themeFillShade="A6"/>
            <w:vAlign w:val="center"/>
          </w:tcPr>
          <w:p w14:paraId="4A6D9511" w14:textId="43962174" w:rsidR="0046536B" w:rsidRPr="00B9146C" w:rsidRDefault="0046536B" w:rsidP="00F96F32">
            <w:pPr>
              <w:jc w:val="center"/>
              <w:rPr>
                <w:rFonts w:ascii="Times New Roman" w:hAnsi="Times New Roman" w:cs="Times New Roman"/>
                <w:b/>
                <w:bCs/>
                <w:sz w:val="20"/>
                <w:szCs w:val="20"/>
              </w:rPr>
            </w:pPr>
            <w:r w:rsidRPr="00B9146C">
              <w:rPr>
                <w:rFonts w:ascii="Times New Roman" w:hAnsi="Times New Roman" w:cs="Times New Roman"/>
                <w:b/>
                <w:bCs/>
                <w:color w:val="FFFFFF" w:themeColor="background1"/>
                <w:sz w:val="20"/>
                <w:szCs w:val="20"/>
              </w:rPr>
              <w:t>990 000,00</w:t>
            </w:r>
          </w:p>
        </w:tc>
      </w:tr>
      <w:tr w:rsidR="006F01A4" w:rsidRPr="00B9146C" w14:paraId="1B9B2C84" w14:textId="77777777" w:rsidTr="009A1121">
        <w:trPr>
          <w:trHeight w:val="288"/>
        </w:trPr>
        <w:tc>
          <w:tcPr>
            <w:tcW w:w="2411" w:type="dxa"/>
            <w:shd w:val="clear" w:color="auto" w:fill="A6A6A6" w:themeFill="background1" w:themeFillShade="A6"/>
            <w:vAlign w:val="center"/>
            <w:hideMark/>
          </w:tcPr>
          <w:p w14:paraId="4ED89CD9" w14:textId="77777777" w:rsidR="00237200" w:rsidRPr="00B9146C" w:rsidRDefault="00237200" w:rsidP="009A1121">
            <w:pPr>
              <w:rPr>
                <w:rFonts w:ascii="Times New Roman" w:hAnsi="Times New Roman" w:cs="Times New Roman"/>
                <w:b/>
                <w:bCs/>
                <w:color w:val="FFFFFF" w:themeColor="background1"/>
                <w:sz w:val="20"/>
                <w:szCs w:val="20"/>
              </w:rPr>
            </w:pPr>
            <w:r w:rsidRPr="00B9146C">
              <w:rPr>
                <w:rFonts w:ascii="Times New Roman" w:hAnsi="Times New Roman" w:cs="Times New Roman"/>
                <w:b/>
                <w:bCs/>
                <w:color w:val="FFFFFF" w:themeColor="background1"/>
                <w:sz w:val="20"/>
                <w:szCs w:val="20"/>
              </w:rPr>
              <w:t>Suma końcowa</w:t>
            </w:r>
          </w:p>
        </w:tc>
        <w:tc>
          <w:tcPr>
            <w:tcW w:w="1275" w:type="dxa"/>
            <w:shd w:val="clear" w:color="auto" w:fill="A6A6A6" w:themeFill="background1" w:themeFillShade="A6"/>
            <w:vAlign w:val="center"/>
            <w:hideMark/>
          </w:tcPr>
          <w:p w14:paraId="67060F2A" w14:textId="2CF25869" w:rsidR="00237200" w:rsidRPr="00B9146C" w:rsidRDefault="00B72C56" w:rsidP="00F96F32">
            <w:pPr>
              <w:jc w:val="center"/>
              <w:rPr>
                <w:rFonts w:ascii="Times New Roman" w:hAnsi="Times New Roman" w:cs="Times New Roman"/>
                <w:b/>
                <w:bCs/>
                <w:color w:val="FFFFFF" w:themeColor="background1"/>
                <w:sz w:val="20"/>
                <w:szCs w:val="20"/>
              </w:rPr>
            </w:pPr>
            <w:r w:rsidRPr="00B72C56">
              <w:rPr>
                <w:rFonts w:ascii="Times New Roman" w:hAnsi="Times New Roman" w:cs="Times New Roman"/>
                <w:b/>
                <w:bCs/>
                <w:color w:val="FFFFFF" w:themeColor="background1"/>
                <w:sz w:val="20"/>
                <w:szCs w:val="20"/>
              </w:rPr>
              <w:t>8 057 880,00</w:t>
            </w:r>
          </w:p>
        </w:tc>
        <w:tc>
          <w:tcPr>
            <w:tcW w:w="1276" w:type="dxa"/>
            <w:shd w:val="clear" w:color="auto" w:fill="A6A6A6" w:themeFill="background1" w:themeFillShade="A6"/>
            <w:vAlign w:val="center"/>
            <w:hideMark/>
          </w:tcPr>
          <w:p w14:paraId="6E80B265" w14:textId="68368703" w:rsidR="00237200" w:rsidRPr="00B9146C" w:rsidRDefault="00B72C56" w:rsidP="00F96F32">
            <w:pPr>
              <w:jc w:val="center"/>
              <w:rPr>
                <w:rFonts w:ascii="Times New Roman" w:hAnsi="Times New Roman" w:cs="Times New Roman"/>
                <w:b/>
                <w:bCs/>
                <w:color w:val="FFFFFF" w:themeColor="background1"/>
                <w:sz w:val="20"/>
                <w:szCs w:val="20"/>
              </w:rPr>
            </w:pPr>
            <w:r w:rsidRPr="00B72C56">
              <w:rPr>
                <w:rFonts w:ascii="Times New Roman" w:hAnsi="Times New Roman" w:cs="Times New Roman"/>
                <w:b/>
                <w:bCs/>
                <w:color w:val="FFFFFF" w:themeColor="background1"/>
                <w:sz w:val="20"/>
                <w:szCs w:val="20"/>
              </w:rPr>
              <w:t>8 257 680,00</w:t>
            </w:r>
          </w:p>
        </w:tc>
        <w:tc>
          <w:tcPr>
            <w:tcW w:w="1418" w:type="dxa"/>
            <w:shd w:val="clear" w:color="auto" w:fill="A6A6A6" w:themeFill="background1" w:themeFillShade="A6"/>
            <w:vAlign w:val="center"/>
            <w:hideMark/>
          </w:tcPr>
          <w:p w14:paraId="5A48BB5C" w14:textId="0EE67A40" w:rsidR="00237200" w:rsidRPr="00B9146C" w:rsidRDefault="00B72C56" w:rsidP="00F96F32">
            <w:pPr>
              <w:jc w:val="center"/>
              <w:rPr>
                <w:rFonts w:ascii="Times New Roman" w:hAnsi="Times New Roman" w:cs="Times New Roman"/>
                <w:b/>
                <w:bCs/>
                <w:color w:val="FFFFFF" w:themeColor="background1"/>
                <w:sz w:val="20"/>
                <w:szCs w:val="20"/>
              </w:rPr>
            </w:pPr>
            <w:r w:rsidRPr="00B72C56">
              <w:rPr>
                <w:rFonts w:ascii="Times New Roman" w:hAnsi="Times New Roman" w:cs="Times New Roman"/>
                <w:b/>
                <w:bCs/>
                <w:color w:val="FFFFFF" w:themeColor="background1"/>
                <w:sz w:val="20"/>
                <w:szCs w:val="20"/>
              </w:rPr>
              <w:t>8 881 180,00</w:t>
            </w:r>
          </w:p>
        </w:tc>
        <w:tc>
          <w:tcPr>
            <w:tcW w:w="1417" w:type="dxa"/>
            <w:shd w:val="clear" w:color="auto" w:fill="A6A6A6" w:themeFill="background1" w:themeFillShade="A6"/>
            <w:vAlign w:val="center"/>
            <w:hideMark/>
          </w:tcPr>
          <w:p w14:paraId="33489D34" w14:textId="3AEC9BE7" w:rsidR="00237200" w:rsidRPr="00B9146C" w:rsidRDefault="009B67AF" w:rsidP="00F96F32">
            <w:pPr>
              <w:jc w:val="center"/>
              <w:rPr>
                <w:rFonts w:ascii="Times New Roman" w:hAnsi="Times New Roman" w:cs="Times New Roman"/>
                <w:b/>
                <w:bCs/>
                <w:color w:val="FFFFFF" w:themeColor="background1"/>
                <w:sz w:val="20"/>
                <w:szCs w:val="20"/>
              </w:rPr>
            </w:pPr>
            <w:r w:rsidRPr="009B67AF">
              <w:rPr>
                <w:rFonts w:ascii="Times New Roman" w:hAnsi="Times New Roman" w:cs="Times New Roman"/>
                <w:b/>
                <w:bCs/>
                <w:color w:val="FFFFFF" w:themeColor="background1"/>
                <w:sz w:val="20"/>
                <w:szCs w:val="20"/>
              </w:rPr>
              <w:t>9 078 180,00</w:t>
            </w:r>
          </w:p>
        </w:tc>
        <w:tc>
          <w:tcPr>
            <w:tcW w:w="1418" w:type="dxa"/>
            <w:shd w:val="clear" w:color="auto" w:fill="A6A6A6" w:themeFill="background1" w:themeFillShade="A6"/>
            <w:vAlign w:val="center"/>
            <w:hideMark/>
          </w:tcPr>
          <w:p w14:paraId="03C39322" w14:textId="2225BEAB" w:rsidR="00237200" w:rsidRPr="00B9146C" w:rsidRDefault="009B67AF" w:rsidP="00F96F32">
            <w:pPr>
              <w:jc w:val="center"/>
              <w:rPr>
                <w:rFonts w:ascii="Times New Roman" w:hAnsi="Times New Roman" w:cs="Times New Roman"/>
                <w:b/>
                <w:bCs/>
                <w:color w:val="FFFFFF" w:themeColor="background1"/>
                <w:sz w:val="20"/>
                <w:szCs w:val="20"/>
              </w:rPr>
            </w:pPr>
            <w:r w:rsidRPr="009B67AF">
              <w:rPr>
                <w:rFonts w:ascii="Times New Roman" w:hAnsi="Times New Roman" w:cs="Times New Roman"/>
                <w:b/>
                <w:bCs/>
                <w:color w:val="FFFFFF" w:themeColor="background1"/>
                <w:sz w:val="20"/>
                <w:szCs w:val="20"/>
              </w:rPr>
              <w:t>9 005 680,00</w:t>
            </w:r>
          </w:p>
        </w:tc>
        <w:tc>
          <w:tcPr>
            <w:tcW w:w="1417" w:type="dxa"/>
            <w:shd w:val="clear" w:color="auto" w:fill="A6A6A6" w:themeFill="background1" w:themeFillShade="A6"/>
            <w:vAlign w:val="center"/>
            <w:hideMark/>
          </w:tcPr>
          <w:p w14:paraId="00F03E85" w14:textId="1D10601E" w:rsidR="00237200" w:rsidRPr="00B9146C" w:rsidRDefault="009B67AF" w:rsidP="00F96F32">
            <w:pPr>
              <w:jc w:val="center"/>
              <w:rPr>
                <w:rFonts w:ascii="Times New Roman" w:hAnsi="Times New Roman" w:cs="Times New Roman"/>
                <w:b/>
                <w:bCs/>
                <w:color w:val="FFFFFF" w:themeColor="background1"/>
                <w:sz w:val="20"/>
                <w:szCs w:val="20"/>
              </w:rPr>
            </w:pPr>
            <w:r w:rsidRPr="009B67AF">
              <w:rPr>
                <w:rFonts w:ascii="Times New Roman" w:hAnsi="Times New Roman" w:cs="Times New Roman"/>
                <w:b/>
                <w:bCs/>
                <w:color w:val="FFFFFF" w:themeColor="background1"/>
                <w:sz w:val="20"/>
                <w:szCs w:val="20"/>
              </w:rPr>
              <w:t>43 280 600,00</w:t>
            </w:r>
          </w:p>
        </w:tc>
      </w:tr>
      <w:bookmarkEnd w:id="0"/>
    </w:tbl>
    <w:p w14:paraId="0177314B" w14:textId="77777777" w:rsidR="009A1121" w:rsidRPr="00B9146C" w:rsidRDefault="009A1121" w:rsidP="00866AED">
      <w:pPr>
        <w:rPr>
          <w:rFonts w:ascii="Times New Roman" w:hAnsi="Times New Roman" w:cs="Times New Roman"/>
          <w:b/>
          <w:bCs/>
        </w:rPr>
      </w:pPr>
    </w:p>
    <w:sectPr w:rsidR="009A1121" w:rsidRPr="00B9146C">
      <w:footerReference w:type="default" r:id="rId11"/>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E00C3A8" w16cid:durableId="2640BBD6"/>
  <w16cid:commentId w16cid:paraId="13FC3E0A" w16cid:durableId="2640C140"/>
  <w16cid:commentId w16cid:paraId="65CCEDED" w16cid:durableId="2650CFD5"/>
  <w16cid:commentId w16cid:paraId="3B1DB66B" w16cid:durableId="264E2F71"/>
  <w16cid:commentId w16cid:paraId="298411F9" w16cid:durableId="264EC840"/>
  <w16cid:commentId w16cid:paraId="79A2AF0B" w16cid:durableId="264E2F72"/>
  <w16cid:commentId w16cid:paraId="6F1A80F8" w16cid:durableId="2650C40C"/>
  <w16cid:commentId w16cid:paraId="147065D7" w16cid:durableId="264E2F73"/>
  <w16cid:commentId w16cid:paraId="3D8B758F" w16cid:durableId="264EC854"/>
  <w16cid:commentId w16cid:paraId="50B28367" w16cid:durableId="264E2F74"/>
  <w16cid:commentId w16cid:paraId="399E4BCA" w16cid:durableId="2652272C"/>
  <w16cid:commentId w16cid:paraId="0EC5615D" w16cid:durableId="264E2F75"/>
  <w16cid:commentId w16cid:paraId="45933F49" w16cid:durableId="2650B15A"/>
  <w16cid:commentId w16cid:paraId="6977F78B" w16cid:durableId="264E2F76"/>
  <w16cid:commentId w16cid:paraId="3A608609" w16cid:durableId="2650B68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F471D4" w14:textId="77777777" w:rsidR="00934E73" w:rsidRDefault="00934E73" w:rsidP="009778BD">
      <w:pPr>
        <w:spacing w:after="0" w:line="240" w:lineRule="auto"/>
      </w:pPr>
      <w:r>
        <w:separator/>
      </w:r>
    </w:p>
  </w:endnote>
  <w:endnote w:type="continuationSeparator" w:id="0">
    <w:p w14:paraId="1538DF51" w14:textId="77777777" w:rsidR="00934E73" w:rsidRDefault="00934E73" w:rsidP="009778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3266394"/>
      <w:docPartObj>
        <w:docPartGallery w:val="Page Numbers (Bottom of Page)"/>
        <w:docPartUnique/>
      </w:docPartObj>
    </w:sdtPr>
    <w:sdtContent>
      <w:p w14:paraId="39D05638" w14:textId="45D90E72" w:rsidR="004557F1" w:rsidRDefault="004557F1">
        <w:pPr>
          <w:pStyle w:val="Stopka"/>
          <w:jc w:val="center"/>
        </w:pPr>
        <w:r>
          <w:fldChar w:fldCharType="begin"/>
        </w:r>
        <w:r>
          <w:instrText>PAGE   \* MERGEFORMAT</w:instrText>
        </w:r>
        <w:r>
          <w:fldChar w:fldCharType="separate"/>
        </w:r>
        <w:r w:rsidR="00885108">
          <w:rPr>
            <w:noProof/>
          </w:rPr>
          <w:t>13</w:t>
        </w:r>
        <w:r>
          <w:fldChar w:fldCharType="end"/>
        </w:r>
      </w:p>
    </w:sdtContent>
  </w:sdt>
  <w:p w14:paraId="6924AA19" w14:textId="77777777" w:rsidR="004557F1" w:rsidRDefault="004557F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8D9CF8" w14:textId="77777777" w:rsidR="00934E73" w:rsidRDefault="00934E73" w:rsidP="009778BD">
      <w:pPr>
        <w:spacing w:after="0" w:line="240" w:lineRule="auto"/>
      </w:pPr>
      <w:r>
        <w:separator/>
      </w:r>
    </w:p>
  </w:footnote>
  <w:footnote w:type="continuationSeparator" w:id="0">
    <w:p w14:paraId="0532009F" w14:textId="77777777" w:rsidR="00934E73" w:rsidRDefault="00934E73" w:rsidP="009778BD">
      <w:pPr>
        <w:spacing w:after="0" w:line="240" w:lineRule="auto"/>
      </w:pPr>
      <w:r>
        <w:continuationSeparator/>
      </w:r>
    </w:p>
  </w:footnote>
  <w:footnote w:id="1">
    <w:p w14:paraId="006C3CDE" w14:textId="1D6F3771" w:rsidR="004557F1" w:rsidRPr="00EA7B6F" w:rsidRDefault="004557F1" w:rsidP="0058722D">
      <w:pPr>
        <w:pStyle w:val="Tekstprzypisudolnego"/>
        <w:jc w:val="both"/>
        <w:rPr>
          <w:rFonts w:ascii="Times New Roman" w:hAnsi="Times New Roman" w:cs="Times New Roman"/>
          <w:sz w:val="16"/>
          <w:szCs w:val="16"/>
        </w:rPr>
      </w:pPr>
      <w:r w:rsidRPr="001C0467">
        <w:rPr>
          <w:rStyle w:val="Odwoanieprzypisudolnego"/>
          <w:rFonts w:ascii="Times New Roman" w:hAnsi="Times New Roman" w:cs="Times New Roman"/>
        </w:rPr>
        <w:footnoteRef/>
      </w:r>
      <w:r w:rsidRPr="001C0467">
        <w:rPr>
          <w:rFonts w:ascii="Times New Roman" w:hAnsi="Times New Roman" w:cs="Times New Roman"/>
        </w:rPr>
        <w:t xml:space="preserve"> </w:t>
      </w:r>
      <w:r w:rsidRPr="00EA7B6F">
        <w:rPr>
          <w:rFonts w:ascii="Times New Roman" w:hAnsi="Times New Roman" w:cs="Times New Roman"/>
          <w:sz w:val="16"/>
          <w:szCs w:val="16"/>
        </w:rPr>
        <w:t>Aktualizacja obejmuje zmianę podziału między kategoriami wydatków - uwzględnienie części kosztów usług świadczonych przez podmioty trzecie w ramach kategorii wynagrodzenia – jako koszty osobowe. Zmiana ta wynika z doświadczeń w okresie realizacji projektu – z uwagi na sytuację rynkową, zmiany systemu podatkowego, wybór formuły świadczenia usług/ pracy w większości przypadków wynika z uwarunkowań i preferencji wykonawcy, zatem w okresie utrzymania trwałości projektu przewiduje się elastyczność w obszarze kosztów osobowych (usługi obce/ wynagrodzenia).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427E6"/>
    <w:multiLevelType w:val="hybridMultilevel"/>
    <w:tmpl w:val="0AE66954"/>
    <w:lvl w:ilvl="0" w:tplc="3E4440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CC46C5D"/>
    <w:multiLevelType w:val="hybridMultilevel"/>
    <w:tmpl w:val="FABA5CBE"/>
    <w:lvl w:ilvl="0" w:tplc="3E4440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8953F07"/>
    <w:multiLevelType w:val="hybridMultilevel"/>
    <w:tmpl w:val="4FB89FFA"/>
    <w:lvl w:ilvl="0" w:tplc="3E4440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ACF3545"/>
    <w:multiLevelType w:val="hybridMultilevel"/>
    <w:tmpl w:val="C29A2C8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211B4F1B"/>
    <w:multiLevelType w:val="hybridMultilevel"/>
    <w:tmpl w:val="24D0A1BE"/>
    <w:lvl w:ilvl="0" w:tplc="3E444060">
      <w:start w:val="1"/>
      <w:numFmt w:val="bullet"/>
      <w:lvlText w:val=""/>
      <w:lvlJc w:val="left"/>
      <w:pPr>
        <w:ind w:left="766" w:hanging="360"/>
      </w:pPr>
      <w:rPr>
        <w:rFonts w:ascii="Symbol" w:hAnsi="Symbol" w:hint="default"/>
      </w:rPr>
    </w:lvl>
    <w:lvl w:ilvl="1" w:tplc="04150003" w:tentative="1">
      <w:start w:val="1"/>
      <w:numFmt w:val="bullet"/>
      <w:lvlText w:val="o"/>
      <w:lvlJc w:val="left"/>
      <w:pPr>
        <w:ind w:left="1486" w:hanging="360"/>
      </w:pPr>
      <w:rPr>
        <w:rFonts w:ascii="Courier New" w:hAnsi="Courier New" w:cs="Courier New" w:hint="default"/>
      </w:rPr>
    </w:lvl>
    <w:lvl w:ilvl="2" w:tplc="04150005" w:tentative="1">
      <w:start w:val="1"/>
      <w:numFmt w:val="bullet"/>
      <w:lvlText w:val=""/>
      <w:lvlJc w:val="left"/>
      <w:pPr>
        <w:ind w:left="2206" w:hanging="360"/>
      </w:pPr>
      <w:rPr>
        <w:rFonts w:ascii="Wingdings" w:hAnsi="Wingdings" w:hint="default"/>
      </w:rPr>
    </w:lvl>
    <w:lvl w:ilvl="3" w:tplc="04150001" w:tentative="1">
      <w:start w:val="1"/>
      <w:numFmt w:val="bullet"/>
      <w:lvlText w:val=""/>
      <w:lvlJc w:val="left"/>
      <w:pPr>
        <w:ind w:left="2926" w:hanging="360"/>
      </w:pPr>
      <w:rPr>
        <w:rFonts w:ascii="Symbol" w:hAnsi="Symbol" w:hint="default"/>
      </w:rPr>
    </w:lvl>
    <w:lvl w:ilvl="4" w:tplc="04150003" w:tentative="1">
      <w:start w:val="1"/>
      <w:numFmt w:val="bullet"/>
      <w:lvlText w:val="o"/>
      <w:lvlJc w:val="left"/>
      <w:pPr>
        <w:ind w:left="3646" w:hanging="360"/>
      </w:pPr>
      <w:rPr>
        <w:rFonts w:ascii="Courier New" w:hAnsi="Courier New" w:cs="Courier New" w:hint="default"/>
      </w:rPr>
    </w:lvl>
    <w:lvl w:ilvl="5" w:tplc="04150005" w:tentative="1">
      <w:start w:val="1"/>
      <w:numFmt w:val="bullet"/>
      <w:lvlText w:val=""/>
      <w:lvlJc w:val="left"/>
      <w:pPr>
        <w:ind w:left="4366" w:hanging="360"/>
      </w:pPr>
      <w:rPr>
        <w:rFonts w:ascii="Wingdings" w:hAnsi="Wingdings" w:hint="default"/>
      </w:rPr>
    </w:lvl>
    <w:lvl w:ilvl="6" w:tplc="04150001" w:tentative="1">
      <w:start w:val="1"/>
      <w:numFmt w:val="bullet"/>
      <w:lvlText w:val=""/>
      <w:lvlJc w:val="left"/>
      <w:pPr>
        <w:ind w:left="5086" w:hanging="360"/>
      </w:pPr>
      <w:rPr>
        <w:rFonts w:ascii="Symbol" w:hAnsi="Symbol" w:hint="default"/>
      </w:rPr>
    </w:lvl>
    <w:lvl w:ilvl="7" w:tplc="04150003" w:tentative="1">
      <w:start w:val="1"/>
      <w:numFmt w:val="bullet"/>
      <w:lvlText w:val="o"/>
      <w:lvlJc w:val="left"/>
      <w:pPr>
        <w:ind w:left="5806" w:hanging="360"/>
      </w:pPr>
      <w:rPr>
        <w:rFonts w:ascii="Courier New" w:hAnsi="Courier New" w:cs="Courier New" w:hint="default"/>
      </w:rPr>
    </w:lvl>
    <w:lvl w:ilvl="8" w:tplc="04150005" w:tentative="1">
      <w:start w:val="1"/>
      <w:numFmt w:val="bullet"/>
      <w:lvlText w:val=""/>
      <w:lvlJc w:val="left"/>
      <w:pPr>
        <w:ind w:left="6526" w:hanging="360"/>
      </w:pPr>
      <w:rPr>
        <w:rFonts w:ascii="Wingdings" w:hAnsi="Wingdings" w:hint="default"/>
      </w:rPr>
    </w:lvl>
  </w:abstractNum>
  <w:abstractNum w:abstractNumId="5" w15:restartNumberingAfterBreak="0">
    <w:nsid w:val="295A126A"/>
    <w:multiLevelType w:val="hybridMultilevel"/>
    <w:tmpl w:val="00A8A5D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2A05FD9"/>
    <w:multiLevelType w:val="hybridMultilevel"/>
    <w:tmpl w:val="B1663CAC"/>
    <w:lvl w:ilvl="0" w:tplc="3E4440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3606528A"/>
    <w:multiLevelType w:val="hybridMultilevel"/>
    <w:tmpl w:val="F95E3078"/>
    <w:lvl w:ilvl="0" w:tplc="195678C0">
      <w:start w:val="530"/>
      <w:numFmt w:val="bullet"/>
      <w:lvlText w:val=""/>
      <w:lvlJc w:val="left"/>
      <w:pPr>
        <w:ind w:left="720" w:hanging="360"/>
      </w:pPr>
      <w:rPr>
        <w:rFonts w:ascii="Symbol" w:eastAsiaTheme="minorHAns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E2D773F"/>
    <w:multiLevelType w:val="hybridMultilevel"/>
    <w:tmpl w:val="19681C28"/>
    <w:lvl w:ilvl="0" w:tplc="3E4440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43FA1E26"/>
    <w:multiLevelType w:val="hybridMultilevel"/>
    <w:tmpl w:val="2D0A24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4C0395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7BC4E2E"/>
    <w:multiLevelType w:val="hybridMultilevel"/>
    <w:tmpl w:val="875E9DE2"/>
    <w:lvl w:ilvl="0" w:tplc="00BED930">
      <w:start w:val="530"/>
      <w:numFmt w:val="bullet"/>
      <w:lvlText w:val=""/>
      <w:lvlJc w:val="left"/>
      <w:pPr>
        <w:ind w:left="720" w:hanging="360"/>
      </w:pPr>
      <w:rPr>
        <w:rFonts w:ascii="Symbol" w:eastAsiaTheme="minorHAns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56A4209E"/>
    <w:multiLevelType w:val="hybridMultilevel"/>
    <w:tmpl w:val="30D25C66"/>
    <w:lvl w:ilvl="0" w:tplc="3E4440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5BA802DC"/>
    <w:multiLevelType w:val="hybridMultilevel"/>
    <w:tmpl w:val="AB3EEBE4"/>
    <w:lvl w:ilvl="0" w:tplc="04150011">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4" w15:restartNumberingAfterBreak="0">
    <w:nsid w:val="6BBD0BB9"/>
    <w:multiLevelType w:val="hybridMultilevel"/>
    <w:tmpl w:val="24EAB0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6FFB3F14"/>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76020A7E"/>
    <w:multiLevelType w:val="hybridMultilevel"/>
    <w:tmpl w:val="A76439A8"/>
    <w:lvl w:ilvl="0" w:tplc="402669F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69D38BA"/>
    <w:multiLevelType w:val="hybridMultilevel"/>
    <w:tmpl w:val="FDCAF93C"/>
    <w:lvl w:ilvl="0" w:tplc="3E4440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5"/>
  </w:num>
  <w:num w:numId="2">
    <w:abstractNumId w:val="16"/>
  </w:num>
  <w:num w:numId="3">
    <w:abstractNumId w:val="10"/>
  </w:num>
  <w:num w:numId="4">
    <w:abstractNumId w:val="12"/>
  </w:num>
  <w:num w:numId="5">
    <w:abstractNumId w:val="6"/>
  </w:num>
  <w:num w:numId="6">
    <w:abstractNumId w:val="4"/>
  </w:num>
  <w:num w:numId="7">
    <w:abstractNumId w:val="5"/>
  </w:num>
  <w:num w:numId="8">
    <w:abstractNumId w:val="9"/>
  </w:num>
  <w:num w:numId="9">
    <w:abstractNumId w:val="7"/>
  </w:num>
  <w:num w:numId="10">
    <w:abstractNumId w:val="11"/>
  </w:num>
  <w:num w:numId="11">
    <w:abstractNumId w:val="1"/>
  </w:num>
  <w:num w:numId="12">
    <w:abstractNumId w:val="2"/>
  </w:num>
  <w:num w:numId="13">
    <w:abstractNumId w:val="8"/>
  </w:num>
  <w:num w:numId="14">
    <w:abstractNumId w:val="17"/>
  </w:num>
  <w:num w:numId="15">
    <w:abstractNumId w:val="0"/>
  </w:num>
  <w:num w:numId="16">
    <w:abstractNumId w:val="14"/>
  </w:num>
  <w:num w:numId="17">
    <w:abstractNumId w:val="13"/>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1A1E"/>
    <w:rsid w:val="00005859"/>
    <w:rsid w:val="00006E7B"/>
    <w:rsid w:val="00010BC6"/>
    <w:rsid w:val="00010F50"/>
    <w:rsid w:val="0001177F"/>
    <w:rsid w:val="000140E7"/>
    <w:rsid w:val="00020116"/>
    <w:rsid w:val="000237FF"/>
    <w:rsid w:val="000240CA"/>
    <w:rsid w:val="00025B69"/>
    <w:rsid w:val="00027D1D"/>
    <w:rsid w:val="00031167"/>
    <w:rsid w:val="0003199D"/>
    <w:rsid w:val="00036E2B"/>
    <w:rsid w:val="0003732E"/>
    <w:rsid w:val="000373FA"/>
    <w:rsid w:val="00040539"/>
    <w:rsid w:val="00040E8F"/>
    <w:rsid w:val="00041D77"/>
    <w:rsid w:val="00043650"/>
    <w:rsid w:val="00044930"/>
    <w:rsid w:val="00046DD1"/>
    <w:rsid w:val="000476DB"/>
    <w:rsid w:val="0005498C"/>
    <w:rsid w:val="00055714"/>
    <w:rsid w:val="00056AC9"/>
    <w:rsid w:val="00057F28"/>
    <w:rsid w:val="00063518"/>
    <w:rsid w:val="00072232"/>
    <w:rsid w:val="00073150"/>
    <w:rsid w:val="0007465C"/>
    <w:rsid w:val="000750A9"/>
    <w:rsid w:val="00076C83"/>
    <w:rsid w:val="0007798F"/>
    <w:rsid w:val="00077B8B"/>
    <w:rsid w:val="000800BF"/>
    <w:rsid w:val="0008382C"/>
    <w:rsid w:val="00083BA4"/>
    <w:rsid w:val="000849EE"/>
    <w:rsid w:val="00085DAF"/>
    <w:rsid w:val="00085E9B"/>
    <w:rsid w:val="00086703"/>
    <w:rsid w:val="00087661"/>
    <w:rsid w:val="0008799C"/>
    <w:rsid w:val="00087F90"/>
    <w:rsid w:val="00090AB6"/>
    <w:rsid w:val="0009266E"/>
    <w:rsid w:val="00094D1E"/>
    <w:rsid w:val="000965A3"/>
    <w:rsid w:val="00096768"/>
    <w:rsid w:val="00097E45"/>
    <w:rsid w:val="000A091A"/>
    <w:rsid w:val="000A5734"/>
    <w:rsid w:val="000A5A94"/>
    <w:rsid w:val="000A6BBB"/>
    <w:rsid w:val="000B02A2"/>
    <w:rsid w:val="000B059B"/>
    <w:rsid w:val="000B092E"/>
    <w:rsid w:val="000B5F93"/>
    <w:rsid w:val="000B73B7"/>
    <w:rsid w:val="000C073E"/>
    <w:rsid w:val="000C20EF"/>
    <w:rsid w:val="000C6AD5"/>
    <w:rsid w:val="000D0CB4"/>
    <w:rsid w:val="000D15C9"/>
    <w:rsid w:val="000D1F42"/>
    <w:rsid w:val="000D2B05"/>
    <w:rsid w:val="000D2F87"/>
    <w:rsid w:val="000D3B56"/>
    <w:rsid w:val="000E1D38"/>
    <w:rsid w:val="000E21EB"/>
    <w:rsid w:val="000E587A"/>
    <w:rsid w:val="000E715A"/>
    <w:rsid w:val="000E7586"/>
    <w:rsid w:val="00101112"/>
    <w:rsid w:val="00101A64"/>
    <w:rsid w:val="00104A91"/>
    <w:rsid w:val="001062FE"/>
    <w:rsid w:val="00106520"/>
    <w:rsid w:val="00107B90"/>
    <w:rsid w:val="001202DD"/>
    <w:rsid w:val="00122149"/>
    <w:rsid w:val="001233D9"/>
    <w:rsid w:val="00124EAE"/>
    <w:rsid w:val="001253D4"/>
    <w:rsid w:val="0012650F"/>
    <w:rsid w:val="00133116"/>
    <w:rsid w:val="00134A65"/>
    <w:rsid w:val="00135375"/>
    <w:rsid w:val="00144D25"/>
    <w:rsid w:val="0014658C"/>
    <w:rsid w:val="0014745D"/>
    <w:rsid w:val="00153452"/>
    <w:rsid w:val="001534E4"/>
    <w:rsid w:val="00153C04"/>
    <w:rsid w:val="00154009"/>
    <w:rsid w:val="00154229"/>
    <w:rsid w:val="0015424E"/>
    <w:rsid w:val="00154BFA"/>
    <w:rsid w:val="0016467C"/>
    <w:rsid w:val="001651F4"/>
    <w:rsid w:val="001727D2"/>
    <w:rsid w:val="0017325E"/>
    <w:rsid w:val="00175A51"/>
    <w:rsid w:val="001779E5"/>
    <w:rsid w:val="001824F9"/>
    <w:rsid w:val="00187736"/>
    <w:rsid w:val="00193007"/>
    <w:rsid w:val="0019647A"/>
    <w:rsid w:val="001A1D24"/>
    <w:rsid w:val="001A2314"/>
    <w:rsid w:val="001A4147"/>
    <w:rsid w:val="001A7876"/>
    <w:rsid w:val="001B0295"/>
    <w:rsid w:val="001B0BB5"/>
    <w:rsid w:val="001B22F9"/>
    <w:rsid w:val="001B7C07"/>
    <w:rsid w:val="001C0467"/>
    <w:rsid w:val="001C063C"/>
    <w:rsid w:val="001C1187"/>
    <w:rsid w:val="001C7B34"/>
    <w:rsid w:val="001D0424"/>
    <w:rsid w:val="001D1C95"/>
    <w:rsid w:val="001D6BE2"/>
    <w:rsid w:val="001E01A5"/>
    <w:rsid w:val="001E16BC"/>
    <w:rsid w:val="001E29B9"/>
    <w:rsid w:val="001E3E0D"/>
    <w:rsid w:val="001E62EC"/>
    <w:rsid w:val="001E6B8E"/>
    <w:rsid w:val="001E73CC"/>
    <w:rsid w:val="001E7AF1"/>
    <w:rsid w:val="001E7CE1"/>
    <w:rsid w:val="001E7EA3"/>
    <w:rsid w:val="001F4098"/>
    <w:rsid w:val="0020431C"/>
    <w:rsid w:val="00205F90"/>
    <w:rsid w:val="00206497"/>
    <w:rsid w:val="00211E2B"/>
    <w:rsid w:val="00212ABD"/>
    <w:rsid w:val="00212FA8"/>
    <w:rsid w:val="00214B07"/>
    <w:rsid w:val="00217AEA"/>
    <w:rsid w:val="0022195E"/>
    <w:rsid w:val="00221A0F"/>
    <w:rsid w:val="00221CD7"/>
    <w:rsid w:val="002222D6"/>
    <w:rsid w:val="00226E67"/>
    <w:rsid w:val="002310CA"/>
    <w:rsid w:val="00234106"/>
    <w:rsid w:val="00235BCC"/>
    <w:rsid w:val="00237200"/>
    <w:rsid w:val="00237937"/>
    <w:rsid w:val="002379A6"/>
    <w:rsid w:val="00237A6B"/>
    <w:rsid w:val="00241B51"/>
    <w:rsid w:val="00247BBD"/>
    <w:rsid w:val="00252757"/>
    <w:rsid w:val="002530AB"/>
    <w:rsid w:val="0025389A"/>
    <w:rsid w:val="00254D0C"/>
    <w:rsid w:val="00254DA9"/>
    <w:rsid w:val="00255425"/>
    <w:rsid w:val="00262B44"/>
    <w:rsid w:val="00265BA2"/>
    <w:rsid w:val="00266B50"/>
    <w:rsid w:val="00267B10"/>
    <w:rsid w:val="00271629"/>
    <w:rsid w:val="00271A1E"/>
    <w:rsid w:val="00272741"/>
    <w:rsid w:val="00273091"/>
    <w:rsid w:val="00273EF0"/>
    <w:rsid w:val="00273FB3"/>
    <w:rsid w:val="00275945"/>
    <w:rsid w:val="00275F6C"/>
    <w:rsid w:val="00277AA6"/>
    <w:rsid w:val="002818DC"/>
    <w:rsid w:val="00296F02"/>
    <w:rsid w:val="002979A9"/>
    <w:rsid w:val="002A0477"/>
    <w:rsid w:val="002A2B38"/>
    <w:rsid w:val="002A30E9"/>
    <w:rsid w:val="002A310E"/>
    <w:rsid w:val="002A3D62"/>
    <w:rsid w:val="002A51BE"/>
    <w:rsid w:val="002A5EE0"/>
    <w:rsid w:val="002A632F"/>
    <w:rsid w:val="002A7C60"/>
    <w:rsid w:val="002B003E"/>
    <w:rsid w:val="002B40AC"/>
    <w:rsid w:val="002B7911"/>
    <w:rsid w:val="002C0ADE"/>
    <w:rsid w:val="002C0FAF"/>
    <w:rsid w:val="002C1171"/>
    <w:rsid w:val="002C1DD7"/>
    <w:rsid w:val="002C510C"/>
    <w:rsid w:val="002C5C1E"/>
    <w:rsid w:val="002D126B"/>
    <w:rsid w:val="002D13B6"/>
    <w:rsid w:val="002D3AF7"/>
    <w:rsid w:val="002D6D8A"/>
    <w:rsid w:val="002D7128"/>
    <w:rsid w:val="002E23AD"/>
    <w:rsid w:val="002E4224"/>
    <w:rsid w:val="002E462D"/>
    <w:rsid w:val="002E4D4C"/>
    <w:rsid w:val="002E7520"/>
    <w:rsid w:val="002F25CE"/>
    <w:rsid w:val="002F3A01"/>
    <w:rsid w:val="00301650"/>
    <w:rsid w:val="00303427"/>
    <w:rsid w:val="00304540"/>
    <w:rsid w:val="0031253B"/>
    <w:rsid w:val="00320858"/>
    <w:rsid w:val="003255DA"/>
    <w:rsid w:val="00325631"/>
    <w:rsid w:val="003316F9"/>
    <w:rsid w:val="00335979"/>
    <w:rsid w:val="00343AE4"/>
    <w:rsid w:val="00346257"/>
    <w:rsid w:val="00346A1E"/>
    <w:rsid w:val="00347AD0"/>
    <w:rsid w:val="00350155"/>
    <w:rsid w:val="00352366"/>
    <w:rsid w:val="00357B2B"/>
    <w:rsid w:val="003602F9"/>
    <w:rsid w:val="00365D20"/>
    <w:rsid w:val="00367D52"/>
    <w:rsid w:val="00373FB7"/>
    <w:rsid w:val="003824D3"/>
    <w:rsid w:val="003846D5"/>
    <w:rsid w:val="003923D7"/>
    <w:rsid w:val="00392622"/>
    <w:rsid w:val="003945D9"/>
    <w:rsid w:val="00397951"/>
    <w:rsid w:val="003A4BB9"/>
    <w:rsid w:val="003A4F8F"/>
    <w:rsid w:val="003A663A"/>
    <w:rsid w:val="003A718C"/>
    <w:rsid w:val="003A7763"/>
    <w:rsid w:val="003B0EE8"/>
    <w:rsid w:val="003B1A30"/>
    <w:rsid w:val="003B1E57"/>
    <w:rsid w:val="003B2642"/>
    <w:rsid w:val="003B57F7"/>
    <w:rsid w:val="003C059D"/>
    <w:rsid w:val="003C150A"/>
    <w:rsid w:val="003C1B0E"/>
    <w:rsid w:val="003C4CC5"/>
    <w:rsid w:val="003C7067"/>
    <w:rsid w:val="003D5762"/>
    <w:rsid w:val="003E0229"/>
    <w:rsid w:val="003E4222"/>
    <w:rsid w:val="003E550E"/>
    <w:rsid w:val="003F14F3"/>
    <w:rsid w:val="003F5397"/>
    <w:rsid w:val="003F542D"/>
    <w:rsid w:val="00401117"/>
    <w:rsid w:val="00404EF9"/>
    <w:rsid w:val="00411EDC"/>
    <w:rsid w:val="00421852"/>
    <w:rsid w:val="0042275D"/>
    <w:rsid w:val="0042278F"/>
    <w:rsid w:val="00423554"/>
    <w:rsid w:val="00423675"/>
    <w:rsid w:val="0042383F"/>
    <w:rsid w:val="00431FF8"/>
    <w:rsid w:val="00440F2E"/>
    <w:rsid w:val="004451B3"/>
    <w:rsid w:val="00447BBD"/>
    <w:rsid w:val="00447FA4"/>
    <w:rsid w:val="004557F1"/>
    <w:rsid w:val="004561CA"/>
    <w:rsid w:val="004574F8"/>
    <w:rsid w:val="00461697"/>
    <w:rsid w:val="00464693"/>
    <w:rsid w:val="0046536B"/>
    <w:rsid w:val="00466254"/>
    <w:rsid w:val="00467260"/>
    <w:rsid w:val="00471511"/>
    <w:rsid w:val="00472605"/>
    <w:rsid w:val="004755DF"/>
    <w:rsid w:val="0048105C"/>
    <w:rsid w:val="00487756"/>
    <w:rsid w:val="00490CCA"/>
    <w:rsid w:val="00490EF9"/>
    <w:rsid w:val="00493815"/>
    <w:rsid w:val="004979F5"/>
    <w:rsid w:val="004A1BF2"/>
    <w:rsid w:val="004A2125"/>
    <w:rsid w:val="004A4BDB"/>
    <w:rsid w:val="004B0A7E"/>
    <w:rsid w:val="004B49AC"/>
    <w:rsid w:val="004C3D03"/>
    <w:rsid w:val="004C575D"/>
    <w:rsid w:val="004D120D"/>
    <w:rsid w:val="004D226E"/>
    <w:rsid w:val="004D3306"/>
    <w:rsid w:val="004D6F17"/>
    <w:rsid w:val="004E2080"/>
    <w:rsid w:val="004E213E"/>
    <w:rsid w:val="004E44FA"/>
    <w:rsid w:val="004E531D"/>
    <w:rsid w:val="004F0708"/>
    <w:rsid w:val="004F0DB9"/>
    <w:rsid w:val="004F279E"/>
    <w:rsid w:val="004F41EB"/>
    <w:rsid w:val="004F53E1"/>
    <w:rsid w:val="004F70AC"/>
    <w:rsid w:val="00502B39"/>
    <w:rsid w:val="005034D2"/>
    <w:rsid w:val="0050597E"/>
    <w:rsid w:val="00506947"/>
    <w:rsid w:val="0050794C"/>
    <w:rsid w:val="005131AF"/>
    <w:rsid w:val="00514664"/>
    <w:rsid w:val="00514CD6"/>
    <w:rsid w:val="005200C8"/>
    <w:rsid w:val="005244A7"/>
    <w:rsid w:val="00524669"/>
    <w:rsid w:val="00525EF9"/>
    <w:rsid w:val="005277FB"/>
    <w:rsid w:val="005309AC"/>
    <w:rsid w:val="00532805"/>
    <w:rsid w:val="00532A5D"/>
    <w:rsid w:val="00537755"/>
    <w:rsid w:val="005378CF"/>
    <w:rsid w:val="005439B4"/>
    <w:rsid w:val="005519A2"/>
    <w:rsid w:val="0055537F"/>
    <w:rsid w:val="0055634B"/>
    <w:rsid w:val="00560152"/>
    <w:rsid w:val="005616AD"/>
    <w:rsid w:val="00561CBB"/>
    <w:rsid w:val="00563EF5"/>
    <w:rsid w:val="00571C8D"/>
    <w:rsid w:val="00581437"/>
    <w:rsid w:val="00582F3F"/>
    <w:rsid w:val="00585671"/>
    <w:rsid w:val="0058722D"/>
    <w:rsid w:val="00587531"/>
    <w:rsid w:val="00590FAE"/>
    <w:rsid w:val="005939DB"/>
    <w:rsid w:val="005A5C0D"/>
    <w:rsid w:val="005B3B15"/>
    <w:rsid w:val="005B3CC2"/>
    <w:rsid w:val="005B5C1C"/>
    <w:rsid w:val="005B5D23"/>
    <w:rsid w:val="005B711A"/>
    <w:rsid w:val="005C072D"/>
    <w:rsid w:val="005C1647"/>
    <w:rsid w:val="005C2657"/>
    <w:rsid w:val="005C28DB"/>
    <w:rsid w:val="005C2D86"/>
    <w:rsid w:val="005C3625"/>
    <w:rsid w:val="005C67AA"/>
    <w:rsid w:val="005C72F3"/>
    <w:rsid w:val="005D1966"/>
    <w:rsid w:val="005D533F"/>
    <w:rsid w:val="005D71AF"/>
    <w:rsid w:val="005E20F9"/>
    <w:rsid w:val="005E5C53"/>
    <w:rsid w:val="005F5322"/>
    <w:rsid w:val="005F62A8"/>
    <w:rsid w:val="005F67F8"/>
    <w:rsid w:val="00600307"/>
    <w:rsid w:val="00600A86"/>
    <w:rsid w:val="00603476"/>
    <w:rsid w:val="00605CC3"/>
    <w:rsid w:val="00613156"/>
    <w:rsid w:val="0062028A"/>
    <w:rsid w:val="00624399"/>
    <w:rsid w:val="00631657"/>
    <w:rsid w:val="00631672"/>
    <w:rsid w:val="00641863"/>
    <w:rsid w:val="00642C0F"/>
    <w:rsid w:val="00643171"/>
    <w:rsid w:val="00644982"/>
    <w:rsid w:val="00650BC9"/>
    <w:rsid w:val="00652769"/>
    <w:rsid w:val="006575B7"/>
    <w:rsid w:val="0066022F"/>
    <w:rsid w:val="00660601"/>
    <w:rsid w:val="00672088"/>
    <w:rsid w:val="00677D7E"/>
    <w:rsid w:val="0068622D"/>
    <w:rsid w:val="00686AEC"/>
    <w:rsid w:val="006914DA"/>
    <w:rsid w:val="00691A8C"/>
    <w:rsid w:val="00693E7E"/>
    <w:rsid w:val="006947A5"/>
    <w:rsid w:val="00694876"/>
    <w:rsid w:val="00695542"/>
    <w:rsid w:val="0069724A"/>
    <w:rsid w:val="006A21F2"/>
    <w:rsid w:val="006A319D"/>
    <w:rsid w:val="006A51DF"/>
    <w:rsid w:val="006A5885"/>
    <w:rsid w:val="006B33AC"/>
    <w:rsid w:val="006B36C0"/>
    <w:rsid w:val="006B5322"/>
    <w:rsid w:val="006C0A29"/>
    <w:rsid w:val="006D3488"/>
    <w:rsid w:val="006D517F"/>
    <w:rsid w:val="006D6913"/>
    <w:rsid w:val="006E4869"/>
    <w:rsid w:val="006F01A4"/>
    <w:rsid w:val="006F1ED9"/>
    <w:rsid w:val="006F34CF"/>
    <w:rsid w:val="006F3E12"/>
    <w:rsid w:val="006F405E"/>
    <w:rsid w:val="006F6DD9"/>
    <w:rsid w:val="006F713E"/>
    <w:rsid w:val="0070518F"/>
    <w:rsid w:val="00715A65"/>
    <w:rsid w:val="0071619C"/>
    <w:rsid w:val="00717717"/>
    <w:rsid w:val="00717F5D"/>
    <w:rsid w:val="007232E9"/>
    <w:rsid w:val="0072742B"/>
    <w:rsid w:val="007338BC"/>
    <w:rsid w:val="007341C9"/>
    <w:rsid w:val="00734B96"/>
    <w:rsid w:val="00736127"/>
    <w:rsid w:val="007379E9"/>
    <w:rsid w:val="00740206"/>
    <w:rsid w:val="00750DBA"/>
    <w:rsid w:val="00755DA6"/>
    <w:rsid w:val="00762077"/>
    <w:rsid w:val="0076382B"/>
    <w:rsid w:val="0076408F"/>
    <w:rsid w:val="00764144"/>
    <w:rsid w:val="00770101"/>
    <w:rsid w:val="00770291"/>
    <w:rsid w:val="00770FB9"/>
    <w:rsid w:val="00774DA6"/>
    <w:rsid w:val="00775DED"/>
    <w:rsid w:val="007815AB"/>
    <w:rsid w:val="0079181D"/>
    <w:rsid w:val="00791E46"/>
    <w:rsid w:val="007A0F2D"/>
    <w:rsid w:val="007A23B4"/>
    <w:rsid w:val="007A2A70"/>
    <w:rsid w:val="007A37A3"/>
    <w:rsid w:val="007A4452"/>
    <w:rsid w:val="007B18E4"/>
    <w:rsid w:val="007B2948"/>
    <w:rsid w:val="007B4C9E"/>
    <w:rsid w:val="007B68B9"/>
    <w:rsid w:val="007C13A9"/>
    <w:rsid w:val="007C427C"/>
    <w:rsid w:val="007D124E"/>
    <w:rsid w:val="007D163C"/>
    <w:rsid w:val="007E1B71"/>
    <w:rsid w:val="007E3D52"/>
    <w:rsid w:val="007E621A"/>
    <w:rsid w:val="007E6717"/>
    <w:rsid w:val="007E6C7D"/>
    <w:rsid w:val="007F7E2A"/>
    <w:rsid w:val="008023A1"/>
    <w:rsid w:val="008027CC"/>
    <w:rsid w:val="0080295F"/>
    <w:rsid w:val="00804ACD"/>
    <w:rsid w:val="00804D6D"/>
    <w:rsid w:val="00806F6D"/>
    <w:rsid w:val="00812031"/>
    <w:rsid w:val="00812207"/>
    <w:rsid w:val="0081445C"/>
    <w:rsid w:val="00814D69"/>
    <w:rsid w:val="00817B9D"/>
    <w:rsid w:val="00820AC1"/>
    <w:rsid w:val="00820C8D"/>
    <w:rsid w:val="008241D7"/>
    <w:rsid w:val="008263A9"/>
    <w:rsid w:val="00827CA2"/>
    <w:rsid w:val="008319BC"/>
    <w:rsid w:val="008337D4"/>
    <w:rsid w:val="0083621C"/>
    <w:rsid w:val="00837CD9"/>
    <w:rsid w:val="00840362"/>
    <w:rsid w:val="008433BE"/>
    <w:rsid w:val="00844D0B"/>
    <w:rsid w:val="00854897"/>
    <w:rsid w:val="0086103E"/>
    <w:rsid w:val="0086248B"/>
    <w:rsid w:val="00864463"/>
    <w:rsid w:val="00864C86"/>
    <w:rsid w:val="008659F9"/>
    <w:rsid w:val="00866AED"/>
    <w:rsid w:val="00877436"/>
    <w:rsid w:val="0087765F"/>
    <w:rsid w:val="00880703"/>
    <w:rsid w:val="00881C85"/>
    <w:rsid w:val="00885108"/>
    <w:rsid w:val="00885447"/>
    <w:rsid w:val="00887F35"/>
    <w:rsid w:val="008938B4"/>
    <w:rsid w:val="0089474F"/>
    <w:rsid w:val="00895810"/>
    <w:rsid w:val="0089748F"/>
    <w:rsid w:val="008A3306"/>
    <w:rsid w:val="008B20E8"/>
    <w:rsid w:val="008B46D9"/>
    <w:rsid w:val="008B5119"/>
    <w:rsid w:val="008C0D26"/>
    <w:rsid w:val="008C0E60"/>
    <w:rsid w:val="008C347B"/>
    <w:rsid w:val="008D077F"/>
    <w:rsid w:val="008D1875"/>
    <w:rsid w:val="008D2042"/>
    <w:rsid w:val="008D2BE6"/>
    <w:rsid w:val="008D6516"/>
    <w:rsid w:val="008D6908"/>
    <w:rsid w:val="008E13E4"/>
    <w:rsid w:val="008E1727"/>
    <w:rsid w:val="008E33A2"/>
    <w:rsid w:val="008E5D58"/>
    <w:rsid w:val="008E6AAB"/>
    <w:rsid w:val="008F20BC"/>
    <w:rsid w:val="008F3BA3"/>
    <w:rsid w:val="008F4704"/>
    <w:rsid w:val="008F6A94"/>
    <w:rsid w:val="008F6B76"/>
    <w:rsid w:val="00901642"/>
    <w:rsid w:val="009047CD"/>
    <w:rsid w:val="00904C48"/>
    <w:rsid w:val="00904E8D"/>
    <w:rsid w:val="009137DD"/>
    <w:rsid w:val="0091480E"/>
    <w:rsid w:val="00915F9F"/>
    <w:rsid w:val="00916837"/>
    <w:rsid w:val="00916A93"/>
    <w:rsid w:val="00920BFF"/>
    <w:rsid w:val="00926B06"/>
    <w:rsid w:val="00934E73"/>
    <w:rsid w:val="00936AAB"/>
    <w:rsid w:val="009373AB"/>
    <w:rsid w:val="0095002E"/>
    <w:rsid w:val="0095282C"/>
    <w:rsid w:val="009540A9"/>
    <w:rsid w:val="0095563E"/>
    <w:rsid w:val="0095719C"/>
    <w:rsid w:val="009576A1"/>
    <w:rsid w:val="00962E82"/>
    <w:rsid w:val="00964AFC"/>
    <w:rsid w:val="009678EF"/>
    <w:rsid w:val="00970A38"/>
    <w:rsid w:val="00973A20"/>
    <w:rsid w:val="00973FD4"/>
    <w:rsid w:val="009778BD"/>
    <w:rsid w:val="009806F6"/>
    <w:rsid w:val="009824B3"/>
    <w:rsid w:val="00987D9A"/>
    <w:rsid w:val="00991CD7"/>
    <w:rsid w:val="009928F8"/>
    <w:rsid w:val="00993263"/>
    <w:rsid w:val="009948CF"/>
    <w:rsid w:val="0099586E"/>
    <w:rsid w:val="009966D8"/>
    <w:rsid w:val="009A08C6"/>
    <w:rsid w:val="009A1121"/>
    <w:rsid w:val="009A417C"/>
    <w:rsid w:val="009A5EC2"/>
    <w:rsid w:val="009B3F68"/>
    <w:rsid w:val="009B4ED5"/>
    <w:rsid w:val="009B67AF"/>
    <w:rsid w:val="009C085E"/>
    <w:rsid w:val="009C3D1E"/>
    <w:rsid w:val="009C785F"/>
    <w:rsid w:val="009D132F"/>
    <w:rsid w:val="009D1AB6"/>
    <w:rsid w:val="009D23E6"/>
    <w:rsid w:val="009D4734"/>
    <w:rsid w:val="009D4C96"/>
    <w:rsid w:val="009D5C8A"/>
    <w:rsid w:val="009D628B"/>
    <w:rsid w:val="009E0295"/>
    <w:rsid w:val="009E0694"/>
    <w:rsid w:val="009E2430"/>
    <w:rsid w:val="009E34C4"/>
    <w:rsid w:val="009E493D"/>
    <w:rsid w:val="009E4EA4"/>
    <w:rsid w:val="009E76F2"/>
    <w:rsid w:val="009F12B7"/>
    <w:rsid w:val="009F23D0"/>
    <w:rsid w:val="009F5014"/>
    <w:rsid w:val="00A00C34"/>
    <w:rsid w:val="00A0102D"/>
    <w:rsid w:val="00A02BF1"/>
    <w:rsid w:val="00A056A8"/>
    <w:rsid w:val="00A0686D"/>
    <w:rsid w:val="00A076C4"/>
    <w:rsid w:val="00A10ADD"/>
    <w:rsid w:val="00A10E31"/>
    <w:rsid w:val="00A11461"/>
    <w:rsid w:val="00A1221C"/>
    <w:rsid w:val="00A12309"/>
    <w:rsid w:val="00A1319A"/>
    <w:rsid w:val="00A1588D"/>
    <w:rsid w:val="00A15A74"/>
    <w:rsid w:val="00A162EA"/>
    <w:rsid w:val="00A163C8"/>
    <w:rsid w:val="00A269AA"/>
    <w:rsid w:val="00A31548"/>
    <w:rsid w:val="00A32982"/>
    <w:rsid w:val="00A32B1F"/>
    <w:rsid w:val="00A359E0"/>
    <w:rsid w:val="00A40B90"/>
    <w:rsid w:val="00A4107B"/>
    <w:rsid w:val="00A41570"/>
    <w:rsid w:val="00A45302"/>
    <w:rsid w:val="00A50624"/>
    <w:rsid w:val="00A54721"/>
    <w:rsid w:val="00A565B8"/>
    <w:rsid w:val="00A61155"/>
    <w:rsid w:val="00A63E29"/>
    <w:rsid w:val="00A64261"/>
    <w:rsid w:val="00A66253"/>
    <w:rsid w:val="00A72544"/>
    <w:rsid w:val="00A7483F"/>
    <w:rsid w:val="00A74DB3"/>
    <w:rsid w:val="00A765AF"/>
    <w:rsid w:val="00A769B4"/>
    <w:rsid w:val="00A81ECA"/>
    <w:rsid w:val="00A82C10"/>
    <w:rsid w:val="00A8388D"/>
    <w:rsid w:val="00A8495E"/>
    <w:rsid w:val="00A85A23"/>
    <w:rsid w:val="00A86360"/>
    <w:rsid w:val="00A90A65"/>
    <w:rsid w:val="00A916EF"/>
    <w:rsid w:val="00A937DD"/>
    <w:rsid w:val="00A95F07"/>
    <w:rsid w:val="00A96846"/>
    <w:rsid w:val="00AA15BA"/>
    <w:rsid w:val="00AA1CB7"/>
    <w:rsid w:val="00AA69F8"/>
    <w:rsid w:val="00AA6FE3"/>
    <w:rsid w:val="00AB371D"/>
    <w:rsid w:val="00AB3D0E"/>
    <w:rsid w:val="00AB6247"/>
    <w:rsid w:val="00AB760F"/>
    <w:rsid w:val="00AC22DB"/>
    <w:rsid w:val="00AC6ABC"/>
    <w:rsid w:val="00AD0329"/>
    <w:rsid w:val="00AD0B90"/>
    <w:rsid w:val="00AD2B41"/>
    <w:rsid w:val="00AD60A1"/>
    <w:rsid w:val="00AD6284"/>
    <w:rsid w:val="00AE0E3D"/>
    <w:rsid w:val="00AE1757"/>
    <w:rsid w:val="00AE3312"/>
    <w:rsid w:val="00AE3B57"/>
    <w:rsid w:val="00AE6B8B"/>
    <w:rsid w:val="00AF294E"/>
    <w:rsid w:val="00AF5175"/>
    <w:rsid w:val="00AF5D6E"/>
    <w:rsid w:val="00B124F1"/>
    <w:rsid w:val="00B20925"/>
    <w:rsid w:val="00B22BE2"/>
    <w:rsid w:val="00B27628"/>
    <w:rsid w:val="00B277D5"/>
    <w:rsid w:val="00B32BED"/>
    <w:rsid w:val="00B33356"/>
    <w:rsid w:val="00B3339E"/>
    <w:rsid w:val="00B34309"/>
    <w:rsid w:val="00B344EC"/>
    <w:rsid w:val="00B37389"/>
    <w:rsid w:val="00B40C30"/>
    <w:rsid w:val="00B44BE9"/>
    <w:rsid w:val="00B45154"/>
    <w:rsid w:val="00B46F11"/>
    <w:rsid w:val="00B47FE3"/>
    <w:rsid w:val="00B5006E"/>
    <w:rsid w:val="00B53EAE"/>
    <w:rsid w:val="00B541F2"/>
    <w:rsid w:val="00B5728F"/>
    <w:rsid w:val="00B57AC1"/>
    <w:rsid w:val="00B619BB"/>
    <w:rsid w:val="00B70BF0"/>
    <w:rsid w:val="00B72C56"/>
    <w:rsid w:val="00B72E91"/>
    <w:rsid w:val="00B742A3"/>
    <w:rsid w:val="00B752FC"/>
    <w:rsid w:val="00B77CE9"/>
    <w:rsid w:val="00B80FF0"/>
    <w:rsid w:val="00B812D8"/>
    <w:rsid w:val="00B85CC7"/>
    <w:rsid w:val="00B87426"/>
    <w:rsid w:val="00B9146C"/>
    <w:rsid w:val="00B95EA6"/>
    <w:rsid w:val="00B96EBA"/>
    <w:rsid w:val="00B970AB"/>
    <w:rsid w:val="00BA7A1D"/>
    <w:rsid w:val="00BB0CF7"/>
    <w:rsid w:val="00BB1B84"/>
    <w:rsid w:val="00BB4227"/>
    <w:rsid w:val="00BB76B4"/>
    <w:rsid w:val="00BC03A1"/>
    <w:rsid w:val="00BC1DB5"/>
    <w:rsid w:val="00BC416B"/>
    <w:rsid w:val="00BC583D"/>
    <w:rsid w:val="00BC76CC"/>
    <w:rsid w:val="00BC773A"/>
    <w:rsid w:val="00BD31B2"/>
    <w:rsid w:val="00BD45C6"/>
    <w:rsid w:val="00BD4CB1"/>
    <w:rsid w:val="00BD7DFE"/>
    <w:rsid w:val="00BE1800"/>
    <w:rsid w:val="00BE3A27"/>
    <w:rsid w:val="00BE3DB2"/>
    <w:rsid w:val="00BE4472"/>
    <w:rsid w:val="00BE78DF"/>
    <w:rsid w:val="00BF1450"/>
    <w:rsid w:val="00BF30C7"/>
    <w:rsid w:val="00BF415B"/>
    <w:rsid w:val="00BF637B"/>
    <w:rsid w:val="00C01D8C"/>
    <w:rsid w:val="00C02DB9"/>
    <w:rsid w:val="00C04B77"/>
    <w:rsid w:val="00C0698B"/>
    <w:rsid w:val="00C07D5B"/>
    <w:rsid w:val="00C10CC2"/>
    <w:rsid w:val="00C13C15"/>
    <w:rsid w:val="00C14108"/>
    <w:rsid w:val="00C14F0A"/>
    <w:rsid w:val="00C15F9F"/>
    <w:rsid w:val="00C1743D"/>
    <w:rsid w:val="00C21058"/>
    <w:rsid w:val="00C22DB1"/>
    <w:rsid w:val="00C23739"/>
    <w:rsid w:val="00C23B82"/>
    <w:rsid w:val="00C23E3C"/>
    <w:rsid w:val="00C27515"/>
    <w:rsid w:val="00C27DBD"/>
    <w:rsid w:val="00C30D1A"/>
    <w:rsid w:val="00C3312F"/>
    <w:rsid w:val="00C34591"/>
    <w:rsid w:val="00C4005D"/>
    <w:rsid w:val="00C41449"/>
    <w:rsid w:val="00C440A9"/>
    <w:rsid w:val="00C44FAF"/>
    <w:rsid w:val="00C470FA"/>
    <w:rsid w:val="00C503E7"/>
    <w:rsid w:val="00C51F1D"/>
    <w:rsid w:val="00C542E9"/>
    <w:rsid w:val="00C56A8F"/>
    <w:rsid w:val="00C56BDA"/>
    <w:rsid w:val="00C65A9C"/>
    <w:rsid w:val="00C66ECF"/>
    <w:rsid w:val="00C70ADD"/>
    <w:rsid w:val="00C722BB"/>
    <w:rsid w:val="00C742FC"/>
    <w:rsid w:val="00C77D08"/>
    <w:rsid w:val="00C803F5"/>
    <w:rsid w:val="00C812E7"/>
    <w:rsid w:val="00C81592"/>
    <w:rsid w:val="00C82F91"/>
    <w:rsid w:val="00C853C5"/>
    <w:rsid w:val="00C9024C"/>
    <w:rsid w:val="00C902D5"/>
    <w:rsid w:val="00C913EA"/>
    <w:rsid w:val="00C92EA0"/>
    <w:rsid w:val="00C932F6"/>
    <w:rsid w:val="00C93B46"/>
    <w:rsid w:val="00C95674"/>
    <w:rsid w:val="00C96EDA"/>
    <w:rsid w:val="00CA0ADA"/>
    <w:rsid w:val="00CA0FD9"/>
    <w:rsid w:val="00CA434C"/>
    <w:rsid w:val="00CA5143"/>
    <w:rsid w:val="00CA5446"/>
    <w:rsid w:val="00CA6483"/>
    <w:rsid w:val="00CB3949"/>
    <w:rsid w:val="00CB4988"/>
    <w:rsid w:val="00CB60D8"/>
    <w:rsid w:val="00CC186C"/>
    <w:rsid w:val="00CC2CAA"/>
    <w:rsid w:val="00CC3F57"/>
    <w:rsid w:val="00CC62AA"/>
    <w:rsid w:val="00CD04A5"/>
    <w:rsid w:val="00CD0892"/>
    <w:rsid w:val="00CD6221"/>
    <w:rsid w:val="00CD67F4"/>
    <w:rsid w:val="00CE1ACA"/>
    <w:rsid w:val="00CE1B17"/>
    <w:rsid w:val="00CE2BF9"/>
    <w:rsid w:val="00CE3C26"/>
    <w:rsid w:val="00CE4208"/>
    <w:rsid w:val="00CE5E1D"/>
    <w:rsid w:val="00CE6329"/>
    <w:rsid w:val="00CE6A5A"/>
    <w:rsid w:val="00CF08B8"/>
    <w:rsid w:val="00CF0BB4"/>
    <w:rsid w:val="00CF113F"/>
    <w:rsid w:val="00CF21DD"/>
    <w:rsid w:val="00CF234B"/>
    <w:rsid w:val="00CF303B"/>
    <w:rsid w:val="00CF4C0A"/>
    <w:rsid w:val="00CF4D51"/>
    <w:rsid w:val="00D014F9"/>
    <w:rsid w:val="00D0161C"/>
    <w:rsid w:val="00D01D2F"/>
    <w:rsid w:val="00D053F7"/>
    <w:rsid w:val="00D05731"/>
    <w:rsid w:val="00D05E45"/>
    <w:rsid w:val="00D10F42"/>
    <w:rsid w:val="00D1113E"/>
    <w:rsid w:val="00D11589"/>
    <w:rsid w:val="00D13400"/>
    <w:rsid w:val="00D13829"/>
    <w:rsid w:val="00D16CA6"/>
    <w:rsid w:val="00D204FE"/>
    <w:rsid w:val="00D21A0A"/>
    <w:rsid w:val="00D236C6"/>
    <w:rsid w:val="00D25317"/>
    <w:rsid w:val="00D373B1"/>
    <w:rsid w:val="00D41038"/>
    <w:rsid w:val="00D47F79"/>
    <w:rsid w:val="00D505B2"/>
    <w:rsid w:val="00D5081F"/>
    <w:rsid w:val="00D53282"/>
    <w:rsid w:val="00D6341E"/>
    <w:rsid w:val="00D65878"/>
    <w:rsid w:val="00D7376D"/>
    <w:rsid w:val="00D73EB8"/>
    <w:rsid w:val="00D77AB3"/>
    <w:rsid w:val="00D801EA"/>
    <w:rsid w:val="00D85945"/>
    <w:rsid w:val="00D92B49"/>
    <w:rsid w:val="00D945B5"/>
    <w:rsid w:val="00D9550D"/>
    <w:rsid w:val="00DA0EE1"/>
    <w:rsid w:val="00DA19A9"/>
    <w:rsid w:val="00DA2944"/>
    <w:rsid w:val="00DA4FAE"/>
    <w:rsid w:val="00DA5213"/>
    <w:rsid w:val="00DB1F33"/>
    <w:rsid w:val="00DB475F"/>
    <w:rsid w:val="00DC40F8"/>
    <w:rsid w:val="00DC6E36"/>
    <w:rsid w:val="00DC732A"/>
    <w:rsid w:val="00DC7614"/>
    <w:rsid w:val="00DD1868"/>
    <w:rsid w:val="00DD485E"/>
    <w:rsid w:val="00DE1813"/>
    <w:rsid w:val="00DE33B3"/>
    <w:rsid w:val="00DE3491"/>
    <w:rsid w:val="00DE364C"/>
    <w:rsid w:val="00DE47E0"/>
    <w:rsid w:val="00DE7277"/>
    <w:rsid w:val="00DF0453"/>
    <w:rsid w:val="00DF3FAF"/>
    <w:rsid w:val="00DF4C37"/>
    <w:rsid w:val="00DF5FEE"/>
    <w:rsid w:val="00DF6752"/>
    <w:rsid w:val="00E03F72"/>
    <w:rsid w:val="00E1007D"/>
    <w:rsid w:val="00E10F6C"/>
    <w:rsid w:val="00E1176A"/>
    <w:rsid w:val="00E1594B"/>
    <w:rsid w:val="00E15F33"/>
    <w:rsid w:val="00E21483"/>
    <w:rsid w:val="00E34A79"/>
    <w:rsid w:val="00E3553C"/>
    <w:rsid w:val="00E35AB3"/>
    <w:rsid w:val="00E37818"/>
    <w:rsid w:val="00E37F10"/>
    <w:rsid w:val="00E408B4"/>
    <w:rsid w:val="00E4134C"/>
    <w:rsid w:val="00E42C2C"/>
    <w:rsid w:val="00E43E01"/>
    <w:rsid w:val="00E4658F"/>
    <w:rsid w:val="00E51D95"/>
    <w:rsid w:val="00E52D8F"/>
    <w:rsid w:val="00E5343F"/>
    <w:rsid w:val="00E554A7"/>
    <w:rsid w:val="00E619D7"/>
    <w:rsid w:val="00E62A88"/>
    <w:rsid w:val="00E643BD"/>
    <w:rsid w:val="00E644AF"/>
    <w:rsid w:val="00E661F2"/>
    <w:rsid w:val="00E67C06"/>
    <w:rsid w:val="00E7739C"/>
    <w:rsid w:val="00E77543"/>
    <w:rsid w:val="00E8027D"/>
    <w:rsid w:val="00E82CE4"/>
    <w:rsid w:val="00E82D15"/>
    <w:rsid w:val="00E82F6B"/>
    <w:rsid w:val="00E84BDE"/>
    <w:rsid w:val="00E91487"/>
    <w:rsid w:val="00E94018"/>
    <w:rsid w:val="00E94A0D"/>
    <w:rsid w:val="00E95118"/>
    <w:rsid w:val="00EA1757"/>
    <w:rsid w:val="00EA3EB4"/>
    <w:rsid w:val="00EA4969"/>
    <w:rsid w:val="00EA4A8E"/>
    <w:rsid w:val="00EA5612"/>
    <w:rsid w:val="00EA662F"/>
    <w:rsid w:val="00EA7B6F"/>
    <w:rsid w:val="00EB5351"/>
    <w:rsid w:val="00EC1501"/>
    <w:rsid w:val="00EC6327"/>
    <w:rsid w:val="00ED3952"/>
    <w:rsid w:val="00ED73F3"/>
    <w:rsid w:val="00EE0D40"/>
    <w:rsid w:val="00EE3242"/>
    <w:rsid w:val="00EE41FA"/>
    <w:rsid w:val="00EE420E"/>
    <w:rsid w:val="00EE5073"/>
    <w:rsid w:val="00EE653C"/>
    <w:rsid w:val="00EF0EA1"/>
    <w:rsid w:val="00EF1726"/>
    <w:rsid w:val="00EF3D33"/>
    <w:rsid w:val="00EF594D"/>
    <w:rsid w:val="00F0088A"/>
    <w:rsid w:val="00F00B68"/>
    <w:rsid w:val="00F11B04"/>
    <w:rsid w:val="00F127E6"/>
    <w:rsid w:val="00F16456"/>
    <w:rsid w:val="00F2100A"/>
    <w:rsid w:val="00F23857"/>
    <w:rsid w:val="00F24B4E"/>
    <w:rsid w:val="00F31646"/>
    <w:rsid w:val="00F31E76"/>
    <w:rsid w:val="00F32C6F"/>
    <w:rsid w:val="00F33C25"/>
    <w:rsid w:val="00F35D6A"/>
    <w:rsid w:val="00F42693"/>
    <w:rsid w:val="00F42A42"/>
    <w:rsid w:val="00F45752"/>
    <w:rsid w:val="00F45FE8"/>
    <w:rsid w:val="00F476CE"/>
    <w:rsid w:val="00F52A07"/>
    <w:rsid w:val="00F5305D"/>
    <w:rsid w:val="00F53445"/>
    <w:rsid w:val="00F53A0A"/>
    <w:rsid w:val="00F5512E"/>
    <w:rsid w:val="00F55D34"/>
    <w:rsid w:val="00F63A8C"/>
    <w:rsid w:val="00F670C2"/>
    <w:rsid w:val="00F70B47"/>
    <w:rsid w:val="00F726AC"/>
    <w:rsid w:val="00F76F47"/>
    <w:rsid w:val="00F8066C"/>
    <w:rsid w:val="00F8245C"/>
    <w:rsid w:val="00F84925"/>
    <w:rsid w:val="00F860E0"/>
    <w:rsid w:val="00F87729"/>
    <w:rsid w:val="00F959FC"/>
    <w:rsid w:val="00F96F32"/>
    <w:rsid w:val="00FA0D53"/>
    <w:rsid w:val="00FA30E8"/>
    <w:rsid w:val="00FA4FF3"/>
    <w:rsid w:val="00FA70FB"/>
    <w:rsid w:val="00FA7BFC"/>
    <w:rsid w:val="00FB3ADA"/>
    <w:rsid w:val="00FD0771"/>
    <w:rsid w:val="00FD1570"/>
    <w:rsid w:val="00FD2724"/>
    <w:rsid w:val="00FD4CE8"/>
    <w:rsid w:val="00FD7AF5"/>
    <w:rsid w:val="00FE174D"/>
    <w:rsid w:val="00FE4797"/>
    <w:rsid w:val="00FE6D80"/>
    <w:rsid w:val="00FF00B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53048C"/>
  <w15:chartTrackingRefBased/>
  <w15:docId w15:val="{CC55C695-79BE-41BB-B583-F8F5E24AB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C0D26"/>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271A1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71A1E"/>
    <w:rPr>
      <w:rFonts w:ascii="Segoe UI" w:hAnsi="Segoe UI" w:cs="Segoe UI"/>
      <w:sz w:val="18"/>
      <w:szCs w:val="18"/>
    </w:rPr>
  </w:style>
  <w:style w:type="table" w:styleId="Tabela-Siatka">
    <w:name w:val="Table Grid"/>
    <w:basedOn w:val="Standardowy"/>
    <w:uiPriority w:val="39"/>
    <w:rsid w:val="00271A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5B711A"/>
    <w:pPr>
      <w:ind w:left="720"/>
      <w:contextualSpacing/>
    </w:pPr>
  </w:style>
  <w:style w:type="character" w:styleId="Odwoaniedokomentarza">
    <w:name w:val="annotation reference"/>
    <w:basedOn w:val="Domylnaczcionkaakapitu"/>
    <w:uiPriority w:val="99"/>
    <w:semiHidden/>
    <w:unhideWhenUsed/>
    <w:rsid w:val="00A10ADD"/>
    <w:rPr>
      <w:sz w:val="16"/>
      <w:szCs w:val="16"/>
    </w:rPr>
  </w:style>
  <w:style w:type="paragraph" w:styleId="Tekstkomentarza">
    <w:name w:val="annotation text"/>
    <w:basedOn w:val="Normalny"/>
    <w:link w:val="TekstkomentarzaZnak"/>
    <w:uiPriority w:val="99"/>
    <w:semiHidden/>
    <w:unhideWhenUsed/>
    <w:rsid w:val="00A10AD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10ADD"/>
    <w:rPr>
      <w:sz w:val="20"/>
      <w:szCs w:val="20"/>
    </w:rPr>
  </w:style>
  <w:style w:type="paragraph" w:styleId="Tematkomentarza">
    <w:name w:val="annotation subject"/>
    <w:basedOn w:val="Tekstkomentarza"/>
    <w:next w:val="Tekstkomentarza"/>
    <w:link w:val="TematkomentarzaZnak"/>
    <w:uiPriority w:val="99"/>
    <w:semiHidden/>
    <w:unhideWhenUsed/>
    <w:rsid w:val="00A10ADD"/>
    <w:rPr>
      <w:b/>
      <w:bCs/>
    </w:rPr>
  </w:style>
  <w:style w:type="character" w:customStyle="1" w:styleId="TematkomentarzaZnak">
    <w:name w:val="Temat komentarza Znak"/>
    <w:basedOn w:val="TekstkomentarzaZnak"/>
    <w:link w:val="Tematkomentarza"/>
    <w:uiPriority w:val="99"/>
    <w:semiHidden/>
    <w:rsid w:val="00A10ADD"/>
    <w:rPr>
      <w:b/>
      <w:bCs/>
      <w:sz w:val="20"/>
      <w:szCs w:val="20"/>
    </w:rPr>
  </w:style>
  <w:style w:type="paragraph" w:styleId="Poprawka">
    <w:name w:val="Revision"/>
    <w:hidden/>
    <w:uiPriority w:val="99"/>
    <w:semiHidden/>
    <w:rsid w:val="009A1121"/>
    <w:pPr>
      <w:spacing w:after="0" w:line="240" w:lineRule="auto"/>
    </w:pPr>
  </w:style>
  <w:style w:type="paragraph" w:styleId="Tekstprzypisukocowego">
    <w:name w:val="endnote text"/>
    <w:basedOn w:val="Normalny"/>
    <w:link w:val="TekstprzypisukocowegoZnak"/>
    <w:uiPriority w:val="99"/>
    <w:semiHidden/>
    <w:unhideWhenUsed/>
    <w:rsid w:val="009778BD"/>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778BD"/>
    <w:rPr>
      <w:sz w:val="20"/>
      <w:szCs w:val="20"/>
    </w:rPr>
  </w:style>
  <w:style w:type="character" w:styleId="Odwoanieprzypisukocowego">
    <w:name w:val="endnote reference"/>
    <w:basedOn w:val="Domylnaczcionkaakapitu"/>
    <w:uiPriority w:val="99"/>
    <w:semiHidden/>
    <w:unhideWhenUsed/>
    <w:rsid w:val="009778BD"/>
    <w:rPr>
      <w:vertAlign w:val="superscript"/>
    </w:rPr>
  </w:style>
  <w:style w:type="paragraph" w:styleId="Nagwek">
    <w:name w:val="header"/>
    <w:basedOn w:val="Normalny"/>
    <w:link w:val="NagwekZnak"/>
    <w:uiPriority w:val="99"/>
    <w:unhideWhenUsed/>
    <w:rsid w:val="002A632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A632F"/>
  </w:style>
  <w:style w:type="paragraph" w:styleId="Stopka">
    <w:name w:val="footer"/>
    <w:basedOn w:val="Normalny"/>
    <w:link w:val="StopkaZnak"/>
    <w:uiPriority w:val="99"/>
    <w:unhideWhenUsed/>
    <w:rsid w:val="002A632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A632F"/>
  </w:style>
  <w:style w:type="paragraph" w:styleId="Tekstprzypisudolnego">
    <w:name w:val="footnote text"/>
    <w:basedOn w:val="Normalny"/>
    <w:link w:val="TekstprzypisudolnegoZnak"/>
    <w:uiPriority w:val="99"/>
    <w:semiHidden/>
    <w:unhideWhenUsed/>
    <w:rsid w:val="00CD67F4"/>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CD67F4"/>
    <w:rPr>
      <w:sz w:val="20"/>
      <w:szCs w:val="20"/>
    </w:rPr>
  </w:style>
  <w:style w:type="character" w:styleId="Odwoanieprzypisudolnego">
    <w:name w:val="footnote reference"/>
    <w:basedOn w:val="Domylnaczcionkaakapitu"/>
    <w:uiPriority w:val="99"/>
    <w:semiHidden/>
    <w:unhideWhenUsed/>
    <w:rsid w:val="00CD67F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366515">
      <w:bodyDiv w:val="1"/>
      <w:marLeft w:val="0"/>
      <w:marRight w:val="0"/>
      <w:marTop w:val="0"/>
      <w:marBottom w:val="0"/>
      <w:divBdr>
        <w:top w:val="none" w:sz="0" w:space="0" w:color="auto"/>
        <w:left w:val="none" w:sz="0" w:space="0" w:color="auto"/>
        <w:bottom w:val="none" w:sz="0" w:space="0" w:color="auto"/>
        <w:right w:val="none" w:sz="0" w:space="0" w:color="auto"/>
      </w:divBdr>
    </w:div>
    <w:div w:id="232394074">
      <w:bodyDiv w:val="1"/>
      <w:marLeft w:val="0"/>
      <w:marRight w:val="0"/>
      <w:marTop w:val="0"/>
      <w:marBottom w:val="0"/>
      <w:divBdr>
        <w:top w:val="none" w:sz="0" w:space="0" w:color="auto"/>
        <w:left w:val="none" w:sz="0" w:space="0" w:color="auto"/>
        <w:bottom w:val="none" w:sz="0" w:space="0" w:color="auto"/>
        <w:right w:val="none" w:sz="0" w:space="0" w:color="auto"/>
      </w:divBdr>
    </w:div>
    <w:div w:id="332494079">
      <w:bodyDiv w:val="1"/>
      <w:marLeft w:val="0"/>
      <w:marRight w:val="0"/>
      <w:marTop w:val="0"/>
      <w:marBottom w:val="0"/>
      <w:divBdr>
        <w:top w:val="none" w:sz="0" w:space="0" w:color="auto"/>
        <w:left w:val="none" w:sz="0" w:space="0" w:color="auto"/>
        <w:bottom w:val="none" w:sz="0" w:space="0" w:color="auto"/>
        <w:right w:val="none" w:sz="0" w:space="0" w:color="auto"/>
      </w:divBdr>
    </w:div>
    <w:div w:id="402874328">
      <w:bodyDiv w:val="1"/>
      <w:marLeft w:val="0"/>
      <w:marRight w:val="0"/>
      <w:marTop w:val="0"/>
      <w:marBottom w:val="0"/>
      <w:divBdr>
        <w:top w:val="none" w:sz="0" w:space="0" w:color="auto"/>
        <w:left w:val="none" w:sz="0" w:space="0" w:color="auto"/>
        <w:bottom w:val="none" w:sz="0" w:space="0" w:color="auto"/>
        <w:right w:val="none" w:sz="0" w:space="0" w:color="auto"/>
      </w:divBdr>
    </w:div>
    <w:div w:id="780799386">
      <w:bodyDiv w:val="1"/>
      <w:marLeft w:val="0"/>
      <w:marRight w:val="0"/>
      <w:marTop w:val="0"/>
      <w:marBottom w:val="0"/>
      <w:divBdr>
        <w:top w:val="none" w:sz="0" w:space="0" w:color="auto"/>
        <w:left w:val="none" w:sz="0" w:space="0" w:color="auto"/>
        <w:bottom w:val="none" w:sz="0" w:space="0" w:color="auto"/>
        <w:right w:val="none" w:sz="0" w:space="0" w:color="auto"/>
      </w:divBdr>
    </w:div>
    <w:div w:id="1417285248">
      <w:bodyDiv w:val="1"/>
      <w:marLeft w:val="0"/>
      <w:marRight w:val="0"/>
      <w:marTop w:val="0"/>
      <w:marBottom w:val="0"/>
      <w:divBdr>
        <w:top w:val="none" w:sz="0" w:space="0" w:color="auto"/>
        <w:left w:val="none" w:sz="0" w:space="0" w:color="auto"/>
        <w:bottom w:val="none" w:sz="0" w:space="0" w:color="auto"/>
        <w:right w:val="none" w:sz="0" w:space="0" w:color="auto"/>
      </w:divBdr>
    </w:div>
    <w:div w:id="1851334032">
      <w:bodyDiv w:val="1"/>
      <w:marLeft w:val="0"/>
      <w:marRight w:val="0"/>
      <w:marTop w:val="0"/>
      <w:marBottom w:val="0"/>
      <w:divBdr>
        <w:top w:val="none" w:sz="0" w:space="0" w:color="auto"/>
        <w:left w:val="none" w:sz="0" w:space="0" w:color="auto"/>
        <w:bottom w:val="none" w:sz="0" w:space="0" w:color="auto"/>
        <w:right w:val="none" w:sz="0" w:space="0" w:color="auto"/>
      </w:divBdr>
    </w:div>
    <w:div w:id="1985306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C7D2E98665CC944B31B8A40A0A578B1" ma:contentTypeVersion="14" ma:contentTypeDescription="Utwórz nowy dokument." ma:contentTypeScope="" ma:versionID="e0b29edc9ed489ba1c4041378013d788">
  <xsd:schema xmlns:xsd="http://www.w3.org/2001/XMLSchema" xmlns:xs="http://www.w3.org/2001/XMLSchema" xmlns:p="http://schemas.microsoft.com/office/2006/metadata/properties" xmlns:ns3="f8e1b11a-b6c5-4072-8996-1f8c30101abf" xmlns:ns4="97a072b7-a0c1-45f1-8637-9f1be3dd9146" targetNamespace="http://schemas.microsoft.com/office/2006/metadata/properties" ma:root="true" ma:fieldsID="767f75823918c8675c4f0ba79aeef965" ns3:_="" ns4:_="">
    <xsd:import namespace="f8e1b11a-b6c5-4072-8996-1f8c30101abf"/>
    <xsd:import namespace="97a072b7-a0c1-45f1-8637-9f1be3dd9146"/>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GenerationTime" minOccurs="0"/>
                <xsd:element ref="ns4:MediaServiceEventHashCode" minOccurs="0"/>
                <xsd:element ref="ns4:MediaServiceAutoKeyPoints" minOccurs="0"/>
                <xsd:element ref="ns4:MediaServiceKeyPoints" minOccurs="0"/>
                <xsd:element ref="ns4:MediaServiceLocatio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e1b11a-b6c5-4072-8996-1f8c30101abf"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SharingHintHash" ma:index="10" nillable="true" ma:displayName="Skrót wskazówki dotyczącej udostępniani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a072b7-a0c1-45f1-8637-9f1be3dd9146"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0E79A2-9FC4-4E82-AC72-4D2C86A6BE82}">
  <ds:schemaRefs>
    <ds:schemaRef ds:uri="http://schemas.microsoft.com/sharepoint/v3/contenttype/forms"/>
  </ds:schemaRefs>
</ds:datastoreItem>
</file>

<file path=customXml/itemProps2.xml><?xml version="1.0" encoding="utf-8"?>
<ds:datastoreItem xmlns:ds="http://schemas.openxmlformats.org/officeDocument/2006/customXml" ds:itemID="{BEB869CF-517E-4390-ADB0-B7F239E591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e1b11a-b6c5-4072-8996-1f8c30101abf"/>
    <ds:schemaRef ds:uri="97a072b7-a0c1-45f1-8637-9f1be3dd91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6A088A5-9395-4F66-A069-55E45FC03D0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512FD63-FF72-4095-8B85-ED811A1CC6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13</Pages>
  <Words>6952</Words>
  <Characters>41713</Characters>
  <Application>Microsoft Office Word</Application>
  <DocSecurity>0</DocSecurity>
  <Lines>347</Lines>
  <Paragraphs>97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 Sosin</dc:creator>
  <cp:keywords/>
  <dc:description/>
  <cp:lastModifiedBy>Porzycka Magdalena</cp:lastModifiedBy>
  <cp:revision>19</cp:revision>
  <dcterms:created xsi:type="dcterms:W3CDTF">2022-06-14T06:37:00Z</dcterms:created>
  <dcterms:modified xsi:type="dcterms:W3CDTF">2022-10-12T10:11:00Z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0x0101005C7D2E98665CC944B31B8A40A0A578B1</vt:lpwstr>
  </property>
</Properties>
</file>